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D-3786/2009 vom 21. Oktober 2009</w:t>
      </w:r>
    </w:p>
    <w:p>
      <w:r>
        <w:t>Bundesverwaltungsgericht, 2009-10-21, DE</w:t>
      </w:r>
    </w:p>
    <w:p>
      <w:r>
        <w:rPr>
          <w:b/>
        </w:rPr>
        <w:t xml:space="preserve">Quelle: </w:t>
      </w:r>
      <w:r>
        <w:t>https://mcp.opencaselaw.ch/entscheid/bvger_D-3786_2009</w:t>
      </w:r>
    </w:p>
    <w:p>
      <w:r>
        <w:t>FR: TAF D-3786/2009 du 21 octobre 2009</w:t>
      </w:r>
    </w:p>
    <w:p>
      <w:r>
        <w:t>IT: TAF D-3786/2009 del 21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Gestützt auf Art. 111a Abs. 1 AsylG wurde vorliegend auf die Durchführung des Schriftenwechsels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Beschwerdeeingabe vom 11. Juni 2009 sowie der Beschwerdeergänzung vom 6. Juli 2009 lässt der Beschwerdeführer im Wesentlichen rügen, das BFM habe keinen Fingerabdruckvergleich mit Deutschland durchgeführt, vielmehr sei die entsprechende Anfrage negativ beantwortet worden. Gestützt auf die vorliegenden Akten sei davon auszugehen, die deutschen Behörden hätten lediglich eine Person gleichen Namens erfasst, doch sei die Übereinstimmung der Identität nicht erwiesen. Zudem erweise sich die Qualifizierung des vom Beschwerdeführer eingereichten Haftbefehls als Fälschung als willkürlich, zumal diesbezüglich keine Dokumentenanalyse durchgeführt worden sei. Hinzu komme, dass das BFM dem Beschwerdeführer bezüglich der angeblichen Fälschungsmerkmale wie auch des Lingua-Gutachtens das rechtliche Gehör hätte gewähren müssen, dies jedoch unterlassen habe, weshalb diese Verletzungen des rechtlichen Gehörs zwingend zur Kassation der angefochtenen Verfügung führen müssten. Nicht zuletzt ergebe sich aus der Dokumentenanalyse, dass der vom Beschwerdeführer eingereichte palästinensische Reisepass keine objektiven Fälschungsmerkmale aufweise. Ebensowenig könnten dem Beschwerdeführer fehlende Passeinträge vorgehalten werden. Vielmehr treffe zu, dass Israel und Jordanien vereinbarungsgemäss darauf verzichteten, palästinensische Reisepässe bei der Ein- oder Ausreise abzustempeln, um keine Probleme mit den syrischen Behörden zu provozieren. Diese Tatsache betreffe die Westbank und habe zur Folge, dass an den entsprechenden Grenzübergängen ein System mit Nummernzetteln zum Einsatz komme, welches keine Passeinträge zur Folge habe. Das genannte Prozedere sei mittels einer Botschaftsanfrage abzuklären, zumal der Sachverhalt nicht rechtsgenüglich abgeklärt worden sei. Was die Unzumutbarkeit des Wegweisungsvollzugs anbelange, seien weitere Abklärungen des Gesundheitszustands des Beschwerdeführers notwendig, weshalb die Einholung eines ausführlichen Arztberichts beantragt werde.</w:t>
      </w:r>
    </w:p>
    <w:p>
      <w:r>
        <w:rPr>
          <w:b/>
        </w:rPr>
        <w:t>E. 4.2</w:t>
      </w:r>
    </w:p>
    <w:p>
      <w:r>
        <w:t>Die Rüge, das BFM habe es unter Verletzung des rechtlichen Gehörs und der Begründungspflicht unterlassen, das Lingua-Gutachten im angefochtenen Entscheid zu erwähnen und zu würdigen, geht insoweit fehl, als sich die Vorinstanz in der angefochtenen Verfügung vom 11. Mai 2009 mit keinem Wort auf das Ergebnis der Lingua-Analyse abstützte, sondern bezüglich der Herkunft des Beschwerdeführers stillschweigend von der Glaubhaftigkeit seiner diesbezüglichen Vorbringen ausging. Die Begründungspflicht ist bei dieser Sachlage schon deshalb nicht verletzt, weil allfällige Erwägungen der Vorinstanz zu seinen Vorbringen über die Herkunft keinerlei Aufschluss darüber geben könnten, warum die Behörde entgegen seinem Antrag entschieden hat; sie hätten vielmehr lediglich die Funktion eines obiter dictum (vgl. André Moser/Michael Beusch/Lorenz Kneubühler, Prozessieren vor dem Bundesverwaltungsgericht, Handbücher für die Anwaltspraxis, Band X, Basel 2008, Rz. 3.103, S. 151). Der Beschwerdeführer hatte somit auch keinen Bedarf, in diesem Zusammenhang irgendwelche Einwände zu formulieren, weshalb auch keine Verletzung des rechtlichen Gehörs vorliegt (vgl. a.a.O., Rz. 3.80 S. 142, Rz. 3.100 S. 150). Auch die Rüge, die Vorinstanz hätte dem Beschwerdeführer zu den in der angefochtenen Verfügung aufgeführten Fälschungsmerkmalen des von ihm eingereichten Haftbefehls vorgängig das rechtliche Gehör gewähren müssen, vermag nicht zu einer anderen Betrachtungsweise zu führen, zumal ein Anspruch auf rechtliches Gehör nur zu Beweiserhebungen, nicht aber zur Beweiswürdigung besteht (vgl. Patrick Sutter, in: Christoph Auer/Markus Müller/Benjamin Schindler (Hrsg.), Kommentar zum Bundesgesetz über das Verwaltungsverfahren (VwVG), Zürich/St. Gallen 2008, Art. 29 N 12).</w:t>
      </w:r>
    </w:p>
    <w:p>
      <w:r>
        <w:rPr>
          <w:b/>
        </w:rPr>
        <w:t>E. 4.3</w:t>
      </w:r>
    </w:p>
    <w:p>
      <w:r>
        <w:t>Die Rüge der unvollständigen Sachverhaltsfeststellung ist gleichfalls vorweg zu prüfen, da ein allenfalls ungenügend abgeklärter Sachverhalt ebenfalls eine materielle Behandlung der vorliegenden Beschwerde verunmöglichen würde.</w:t>
      </w:r>
    </w:p>
    <w:p>
      <w:r>
        <w:rPr>
          <w:b/>
        </w:rPr>
        <w:t>E. 4.3.1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Untersuchungsgrundsatz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Entscheidungen und Mitteilungen der Schweizerischen Asylrekurskommission [EMARK] 1995 Nr. 23 E. 5a S. 222).</w:t>
      </w:r>
    </w:p>
    <w:p>
      <w:r>
        <w:rPr>
          <w:b/>
        </w:rPr>
        <w:t>E. 4.3.2</w:t>
      </w:r>
    </w:p>
    <w:p>
      <w:r>
        <w:t>Aufgrund der Aktenlage kommt das Bundesverwaltungsgericht zum Schluss, dass das BFM vorliegend den Sachverhalt vollständig erstellt und zu Recht keine weitergehenden Abklärungen vorgenommen hat, zumal auch eine Botschaftsabklärung zum grenzpolizeilichen Verfahren der palästinensischen, israelischen und jordanischen Behörden bei palästinensischen Emigranten kein Ergebnis erwarten lässt, aus dem der Beschwerdeführer etwas zu seinen Gunsten ableiten könnte. Selbst der Nachweis des in der Beschwerdeergänzung beschriebenen Verfahrens mit Nummernzetteln ändert nämlich nichts daran, dass der Reisepass des Beschwerdeführers keinerlei Passeinträge enthält, namentlich auch keine solchen syrischer Behörden, deretwegen das in der Beschwerdeergänzung beschriebene Prozedere überhaupt durchgeführt werde. Da der Beschwerdeführer für seine Reise von Amman nach Damaskus in einem Lastwagen unterwegs war, erweisen sich die von der Vorinstanz geäusserten Zweifel bezüglich des Reisepasses unabhängig vom geltend gemachten Verfahren mit Nummernzetteln nach wie vor als stichhaltig, weshalb die Erhebung eines solchen Beweises für den Ausgang des Beschwerdeverfahrens unerheblich erscheint.</w:t>
      </w:r>
    </w:p>
    <w:p>
      <w:r>
        <w:rPr>
          <w:b/>
        </w:rPr>
        <w:t>E. 4.3.3</w:t>
      </w:r>
    </w:p>
    <w:p>
      <w:r>
        <w:t>Das BFM ist somit zu Recht davon ausgegangen, dass keine weiteren Abklärungen notwendig sind, zumal der Sachverhalt - wie die nachfolgenden Erwägungen zeigen - durchaus liquid ist und es die bestehende Aktenlage ohne weiteres erlaubt, die Glaubhaftigkeit der Asylvorbringen des Beschwerdeführers abschliessend zu beurteilen. Nach dem Gesagten sind die Anträge auf Aufhebung der angefochtenen Verfügung und Rückweisung der Sache an die Vorinstanz zu weiteren Abklärungen sowie zur Neubeurteilung abzuweisen.</w:t>
      </w:r>
    </w:p>
    <w:p>
      <w:r>
        <w:rPr>
          <w:b/>
        </w:rPr>
        <w:t>E. 4.4</w:t>
      </w:r>
    </w:p>
    <w:p>
      <w:r>
        <w:t>Wie sich aus dem Aktenstück A7/1 ergibt, reiste der Beschwerdeführer am 9. September 2007 in die Bundesrepublik Deutschland ein und stellte am 17. September 2007 unter einem anderen Namen ein Asylgesuch. Indessen will der Beschwerdeführer dieses Abklärungsergebnis nicht gegen sich gelten lassen und mutmasst stattdessen, es sei kein Fingerabdruckvergleich mit Deutschland durchgeführt beziehungsweise die entsprechende Anfrage sei negativ beantwortet worden. Die deutschen Behörden hätten lediglich eine Person mit ähnlichem Namen erfasst. Diese Vorbringen in der Beschwerde vermögen indessen zu keiner anderen Betrachtungsweise zu führen, basieren doch Statusanfragen des BFM in der Bundesrepublik Deutschland nach Erkenntnissen des Bundesverwaltungsgerichts ausnahmslos auf einem Fingerabdruckvergleich (vgl. auch A19/2 F2). Die Übereinstimmung der Identität des Beschwerdeführers mit derjenigen Person, die ihr Asylgesuch am 17. September 2007 in der Bundesrepublik Deutschland stellte, wird in den vorliegenden Akten durch den Bescheid vom 19. Mai 2008 der deutschen Behörden nachgewiesen. Dementsprechend ist der vom Beschwerdeführer geltend gemachten Verfolgungssituation in der Westbank die Grundlage entzogen, zumal er sich im Jahre 2008 in der Bundesrepublik Deutschland aufhielt (vgl. A18/14 F36/7 S. 5). Bei dieser Sachlage erübrigt es sich, auf die Vorbringen des Beschwerdeführers zur Verfolgungssituation einzugehen. Im Übrigen bedarf es keiner Dokumentenanalyse eines Experten, um - frei von Willkür - zum Schluss zu kommen, der vom Beschwerdeführer eingereichte, undatierte und lediglich in Kopie vorliegende Haftbefehl der "Alaqsa Martyrs Troops" sei in Anbetracht des Inhalts wie auch der Wortwahl von einer Person verfasst worden, die keine hoheitliche Kompetenz zur Ausstellung derartiger Dokumente hat. Die Vorinstanz hat dieses Dokument zu Recht als Fälschung eingezogen.</w:t>
      </w:r>
    </w:p>
    <w:p>
      <w:r>
        <w:rPr>
          <w:b/>
        </w:rPr>
        <w:t>E. 4.5</w:t>
      </w:r>
    </w:p>
    <w:p>
      <w:r>
        <w:t>Der Beschwerdeführer vertritt des Weiteren die Auffassung, das Bundesverwaltungsgericht müsse zumindest noch Beweis betreffend den Gesundheitszustand des Beschwerdeführers erheben Es stellt sich die Frage, ob diesem Beweisantrag auf Beschwerdeebene nachzukommen ist.</w:t>
      </w:r>
    </w:p>
    <w:p>
      <w:r>
        <w:rPr>
          <w:b/>
        </w:rPr>
        <w:t>E. 4.5.1</w:t>
      </w:r>
    </w:p>
    <w:p>
      <w:r>
        <w:t>Nach der höchstrichterlichen Rechtsprechung kann das Beweisverfahren geschlossen werden, wenn die noch im Raum stehenden Beweisanträge eine nicht erhebliche Tatsache betreffen oder offensichtlich untauglich sind, etwa weil ihnen die Beweiseignung an sich abgeht oder - gerade umgekehrt - die betreffende Tatsache aus den Akten bereits genügend ersichtlich ist. Diesfalls werden von den Parteien gestellte Beweisanträge im Rahmen einer vorweggenommenen, sog. antizipierten Beweiswürdigung abgewiesen. Dies ist zulässig, wenn das Gericht aufgrund bereits erhobener Beweise oder aus anderen Gründen den rechtserheblichen Sachverhalt für genügend geklärt hält und überzeugt ist, seine rechtliche Überzeugung würde durch weitere Beweiserhebungen nicht geändert (André Moser/Michael Beusch/Lorenz Kneubühler, Prozessieren vor dem Bundesverwaltungsgericht, Handbücher für die Anwaltspraxis, Band X, Basel 2008, Rz. 3.144 S. 165).</w:t>
      </w:r>
    </w:p>
    <w:p>
      <w:r>
        <w:rPr>
          <w:b/>
        </w:rPr>
        <w:t>E. 4.5.2</w:t>
      </w:r>
    </w:p>
    <w:p>
      <w:r>
        <w:t>Was die gesundheitlichen Probleme des Beschwerdeführers anbelangt, so befindet sich bereits ein Arztzeugnis vom 6. Juli 2009 bei den Akten. Diesbezüglich ist vorweg Folgendes festzuhalten: Das Bundesverwaltungsgericht hegt keine grundsätzlichen Zweifel an den in medizinischen Berichten gestellten Diagnosen. Ein vom Bundesverwaltungsgericht beigezogener medizinischer Sachverständiger könnte sich allenfalls zur Qualität des eingereichten ärztlichen Berichts äussern und gegebenenfalls die vom behandelnden Arzt gestellten Diagnosen bestätigen. Die entscheidende Frage, ob sich der Vollzug der Wegweisung in Anbetracht der diagnostizierten Erkrankungen des Beschwerdeführers und der Aktenlage als zumutbar erweist, haben indessen allein die zuständigen Asylbehörden, vorliegend das Bundesverwaltungsgericht, zu beurteilen (BVGE 2007/31 E. 5.1 S. 378). Da das Arztzeugnis vom 6. Juli 2009, wie sich aufgrund nachstehender Ausführungen ergibt, den massgebenden Sachverhalt in ausreichendem Masse erhellt, erübrigt es sich, eine Frist zur Einreichung eines ausführlichen psychiatrischen Berichts anzusetzen. Das Bundesverwaltungsgericht weist daher die Erhebung zusätzlicher Beweise in antizipierter Beweiswürdigung ab.</w:t>
      </w:r>
    </w:p>
    <w:p>
      <w:r>
        <w:rPr>
          <w:b/>
        </w:rPr>
        <w:t>E. 4.6</w:t>
      </w:r>
    </w:p>
    <w:p>
      <w:r>
        <w:t>Aufgrund der vorstehenden Erwägungen erübrigt es sich, auf die weiteren Ausführungen in der Beschwerde im Einzelnen sowie weitere Beweismittel einzugehen oder weitere Akten beizuziehen, weil diese am Ergebnis nichts ändern können. Unter Berücksichtigung der gesamten Umstände folgt, dass der Beschwerdeführer keine Gründe nach Art. 3 AsylG nachweisen oder glaubhaft machen konnte. Das Bundesamt hat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das palästinensische Autonomiegebiet (Westbank) ist demnach unter dem Aspekt von Art. 5 AsylG rechtmässig. Sodann ergeben sich weder aus den Aussagen des Beschwerdeführers noch aus den Akten Anhaltspunkte dafür, dass er für den Fall einer Ausschaffung in das palästinensische Autonomiegebiet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Der Beschwerdeführer bringt ferner verschiedene gesundheitliche Probleme vor (siehe Sachverhalt Bst. D.b sowie nachfolgend E. 6.4.2). Diese stellen aber selbst dann unter dem Blickwinkel von Art. 3 EMRK kein völkerrechtliches Vollzugshindernis dar, falls im Westjordanland der medizinische Standard schlechter als in der Schweiz wäre (vgl. EMARK 2004 Nr. 6 E. 7 S. 40 ff., EMARK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i.S. Salkic und andere gegen Schweden, "The Law", Ziff. 1, S. 7 [Beschwerde Nr. 7702/04]; Urteil des EGMR vom 27. Mai 2008 i.S. N. gegen Vereinigtes Königreich, Ziffn. 34 und 42 - 44 [Beschwerde Nr. 26565/05]). Auch die allgemeine Menschenrechtssituation im palästinensischen Autonomiegebiet (Westbank)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Die Lage in der Westbank wurde in den letzten Jahren stark von der im Sommer 2002 durch die Israeli begonnenen Errichtung einer Sperranlage beeinflusst, welche die Bewegungsfreiheit der in der Westbank lebenden Palästinenser stark eingeschränkt hat. So kam es zu Verschlechterungen bei der gesundheitlichen Versorgung und einer Zunahme der Armut und Arbeitslosigkeit. Verschiedene Regionen wurden zunehmend stark isoliert und es grenzte für Palästinenser bisweilen an Unmöglichkeit, zu Schulen, Spitälern oder zur Arbeit zu gelangen. An den Checkpoints wurde zudem die Einreise oft willkürlich verweigert und die - für Reisen zwischen der Westbank und dem Gazastreifen benötigte - Bewilligung wurde nur willkürlich vergeben. Auch die wirtschaftliche Lage hat sich seit Errichtung der Sperranlage verschlechtert; so hat sich das Pro-Kopf-Einkommen fast halbiert (vgl. http://www.deza.ch/de/Home/Laender/Naher_Mittlerer_Osten/Gaza_Westbank; www.refugees.org; &gt; About Refugees &gt; Publications &amp; Archives &gt; World Refugee Survay &gt; Israeli Occupied Territories; Human Rights Situation in Palestine and other occupied arab territories, S. 14 ff., zuletzt besucht am 5. Dezember 2008). Der innerpalästinensische Machtkampf zwischen der bei den Wahlen vom 25. Januar 2006 als Sieger hervorgegangenen Hamas und der von Mahmud Abbas angeführten Palästinensischen Autonomiebehörde (PA) hat im Juni 2007 dazu geführt, dass die PA ihren Einfluss nunmehr auf die - von israelischer Seite weiterhin besetzte - Westbank beschränkt. Nach diesem Machtwechsel und der dadurch bedingten Trennung der Machtverhältnisse zwischen dem Gazastreifen und der Westbank, machte es sich die PA durch ihren Präsidenten Mahmud Abbas und den Ministerpräsidenten Salam Fayyad zum Ziel, die Position ihrer Fatah mit Hilfe einer Kooperation mit der israelischen Regierung und der internationalen Gemeinschaft durch die Einführung eines neuen "West Bank Models" zu stärken und damit die Hamas indirekt zu schwächen. Die Westbank soll demnach als Modell eines palästinensischen Staates gelten, als Motor für politische Entwicklungen, weshalb die innere Ordnung stabilisiert werden soll, indem vor allem in die öffentliche Sicherheit und Finanzen investiert wird. Mit der Durchsetzung von "Law and Order", also einer Verbesserung der inneren Sicherheit des Westbank-Gebietes soll vorab das Vertrauen der Palästinenser in ihre Regierung verstärkt werden. Es sind denn auch positive Entwicklungen in den Bereichen Wirtschaft - so weisen das Marktverhalten wie auch die Arbeitslosigkeitsrate einen Trend nach oben auf - und innere Sicherheit zu verzeichnen. Trotz der fortdauernden Omnipräsenz der israelischen Besatzer in der Westbank hat sich die städtische Ordnung in letzter Zeit verbessert und die Aktivitäten der Miliz haben abgenommen. Auch was die Sperrmauer anbelangt, sind seit April 2008 Verbesserungen in Sicht; so hat die israelische Regierung verschiedene Checkpoints und Hindernisse aufgehoben, um die innerterritoriale Bewegung in der Westbank zu fördern (vgl. zum Ganzen International Crisis Group [ICG], After Gaza S. 16 ff., sowie Ruling Palestine II: The West Bank Model? S. 1 ff., abgerufen am 5. Dezember 2008; United Nations Office for the Coordination of Humanitarian Affairs, OCHA Closure Update, 30. April - 11. September 2008, S. 1, zuletzt besucht am 5. Dezember 2008). Insgesamt liegt nach dem Gesagten mit Blick auf die Westbank keine Situation allgemeiner Gewalt vor; es kann somit davon ausgegangen werden, dass der Beschwerdeführer bei einer Rückkehr in die Westbank keiner konkreten Gefährdung im Sinne von Art. 83 Abs. 4 AuG ausgesetzt ist.</w:t>
      </w:r>
    </w:p>
    <w:p>
      <w:r>
        <w:rPr>
          <w:b/>
        </w:rPr>
        <w:t>E. 6.4.2</w:t>
      </w:r>
    </w:p>
    <w:p>
      <w:r>
        <w:t>Was seinen Gesundheitszustand betrifft, wurde in der Rechtsmitteleingabe geltend gemacht, der Beschwerdeführer sei psychisch angeschlagen und bedürfe einer psychotherapeutischen Abklärung und Therapie, weshalb ein Wegweisungsvollzug insgesamt nicht zumutbar sei. Aus dem vom Beschwerdeführer eingereichten ärztlichen Zeugnis vom 6. Juli 2009 eines Psychiaters ergibt sich, dass der Beschwerdeführer an einer reaktiven Depression mit Angstzuständen bei psychosozialer Belastungssituation kranke und einer auf lange Frist angelegten intensiven, mit Psychopharmaka unterstützten Psychotherapie bedürfe, um sein gesamtes soziales Umfeld positiv gestalten zu können. Die Behandlung von derartigen psychischen Störungen erfordert somit lediglich die Möglichkeit von Gesprächen mit einem Arzt und die Abgabe von Psychopharmaka, weshalb der Beschwerdeführer auch im Westjordanland behandelt werden kann. Wie bereits in der Zwischenverfügung vom 24 Juli 2009 erwähnt, würde an dieser Betrachtungsweise auch eine allfällige Einweisung in eine psychiatrische Klinik wegen Selbst- oder Drittgefährdung nicht zu einer grundsätzlich veränderten Betrachtungsweise zu führen vermögen. Was schliesslich die im Arztzeugnis vom 6. Juli 2009 (wohl zu Unrecht) verneinte Reisefähigkeit anbelangt, ist diese gegebenenfalls ohnehin erst im Zeitpunkt der Rückreise zu beurteilen.</w:t>
      </w:r>
    </w:p>
    <w:p>
      <w:r>
        <w:rPr>
          <w:b/>
        </w:rPr>
        <w:t>E. 6.4.3</w:t>
      </w:r>
    </w:p>
    <w:p>
      <w:r>
        <w:t>Sodann sind auch keine anderen Hinweise ersichtlich, aufgrund derer unter Umständen geschlossen werden könnte, der Beschwerdeführer gerate im Falle der Rückkehr in eine existenzbedrohende Situation. Eigenen Angaben zufolge verfügt er über eine Sekundar- und Mittelschulbildung sowie Berufserfahrung als Plattenleger (A1/9 S. 2). Es ist ihm aufgrund seines soliden beruflichen Rüstzeugs zuzumuten, sich wieder im palästinensischen Autonomiegebiet niederzulassen und eine neue Existenz aufzubauen. Darüber hinaus werden ihm seine nach wie vor dort lebenden Eltern und zahlreichen Geschwister bei der Wiedereingliederung behilflich sein können. Angesichts der gesamten Umstände ist der Vollzug der Wegweisung - in Übereinstimmung mit der Vorinstanz - auch diesbezüglich als zumutbar zu bezeichnen.</w:t>
      </w:r>
    </w:p>
    <w:p>
      <w:r>
        <w:rPr>
          <w:b/>
        </w:rPr>
        <w:t>E. 6.4.4</w:t>
      </w:r>
    </w:p>
    <w:p>
      <w:r>
        <w:t>Nach dem Gesagten erweist sich Vollzug der Wegweisung auch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31. Juli 2009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