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D-3783/2012 vom 20. November 2012</w:t>
      </w:r>
    </w:p>
    <w:p>
      <w:r>
        <w:t>Bundesverwaltungsgericht, 2012-11-20, DE</w:t>
      </w:r>
    </w:p>
    <w:p>
      <w:r>
        <w:rPr>
          <w:b/>
        </w:rPr>
        <w:t xml:space="preserve">Quelle: </w:t>
      </w:r>
      <w:r>
        <w:t>https://mcp.opencaselaw.ch/entscheid/bvger_D-3783_2012</w:t>
      </w:r>
    </w:p>
    <w:p>
      <w:r>
        <w:t>FR: TAF D-3783/2012 du 20 novembre 2012</w:t>
      </w:r>
    </w:p>
    <w:p>
      <w:r>
        <w:t>IT: TAF D-3783/2012 del 20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Beschwerdeführerin macht in ihrer Rechtsmitteleingabe in formeller Hinsicht geltend, dass das Verfahren wegen ungenügender Feststellung des Sachverhalts und einer ungenügenden Begründung an die Vorinstanz zurückzuweisen sei: Die Beschwerdeführerin sei letztmals am 2. Dezember 2009 angehört worden. Da für die Beurteilung eines Asylgesuchs jedoch stets die aktuelle Situation massgebend sei und sich die Lage in Sri Lanka grundlegend geändert habe, hätte das BFM die Beschwerdeführerin zwingend erneut anhören oder zumindest Gelegenheit zur Stellungnahme gewähren müssen. Das BFM habe den Sachverhalt auch nicht vor dem Hintergrund der geltenden Rechtspraxis abgeklärt. So sei der Umstand, dass die von der Beschwerdeführerin unterstützte Politikerin LTTE-Mitglied gewesen sei und die Beschwerdeführerin somit indirekt die LTTE unterstützt habe, sowie das Vorbringen, dass die Familie der Beschwerdeführerin ein Verfahren betreffend die Ermordung der Schwester eingeleitet habe, unbeachtet geblieben. Aus den vorinstanzlichen Akten gehe auch nicht hervor, dass das BFM länderspezifische Informationen zur Lage in Sri Lanka beigezogen hätte. Vielmehr stütze das BFM seine Erwägungen auf hypothetische, nicht belegte Behauptungen. Dies stelle eine ungenügende Sachverhaltsfeststellung sowie eine Verletzung der Begründungspflicht dar.</w:t>
      </w:r>
    </w:p>
    <w:p>
      <w:r>
        <w:rPr>
          <w:b/>
        </w:rPr>
        <w:t>E. 3.2</w:t>
      </w:r>
    </w:p>
    <w:p>
      <w:r>
        <w:t>Die Rüge der ungenügenden Sachverhaltsfeststellung gilt es vorab zu prüfen, da sie gegebenenfalls zur Kassation der vorinstanzlichen Verfügung führen kann.</w:t>
      </w:r>
    </w:p>
    <w:p>
      <w:r>
        <w:rPr>
          <w:b/>
        </w:rPr>
        <w:t>E. 3.3</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2009/50 E. 10.2 S. 734, BVGE 2008/24 E. 7.2 S. 356 f., BVGE 2007/21 E. 11.1.3 S. 250 f.).</w:t>
      </w:r>
    </w:p>
    <w:p>
      <w:r>
        <w:rPr>
          <w:b/>
        </w:rPr>
        <w:t>E. 3.4</w:t>
      </w:r>
    </w:p>
    <w:p>
      <w:r>
        <w:t>Das Bundesverwaltungsgericht hat sich im Urteil E-6220/2006 vom 27. Oktober 2011 einlässlich mit der allgemeinen Lage in Sri Lanka auseinandergesetzt und erwogen, es gebe Personengruppen, die einer besonderen Gefahr unterlägen, seitens der sri-lankischen Sicherheitskräfte oder anderer Gruppierungen verfolgt zu werden. Es nannte in diesem Zusammenhang unter anderem Opfer und Zeugen von Menschenrechtsverletzungen sowie Per­sonen, die solche Übergriffe bei den Behörden anzeigen (vgl. BVGE 2011/24 E. 8 S. 493 ff.). Die Beschwerdeführerin brachte bereits im Auslandverfahren vor, dass sie nach der gewaltsamen Tötung ihrer Schwester durch Paramilitärs bedroht worden sei, da ihre Mutter ein Verfahren zur Aufklärung der Ermordung eingeleitet habe. Den Bestätigungsschreiben vom 6. August 2008 sowie vom 30. März 2009 lässt sich die diesbezügliche Verfahrensnummer entnehmen. Im Lichte der oben skizzierten Rechtsprechung, welche unter anderem Personen, welche massive Menschenrechtsverletzungen zur Anzeige bringen, zu den gefährdeten Risikogruppen zählt, erscheint dieses Vorbringen der Beschwerdeführerin als nicht unerheblich für die Beurteilung des Vorliegens einer asylrelevanten Verfolgung. Das Vorbringen der Beschwerdeführerin, ihre Mutter habe ein Verfahren eingeleitet und die Beschwerdeführerin werde daher bedroht, wurde in der vor­in­stanzlichen Verfügung weder im massgeblichen Sachverhalt erwähnt noch in den Erwägungen konkret behandelt. Das BFM hat im Rahmen der Sachverhaltsabklärung keine Erkundigungen über das Verfahren, ins­besondere über dessen aktuellen Stand eingeholt, und auch keine diesbezüglichen Beweise erhoben. Somit kann festgestellt werden, dass der rechtserhebliche Sachverhalt ungenügend festgestellt wurde.</w:t>
      </w:r>
    </w:p>
    <w:p>
      <w:r>
        <w:rPr>
          <w:b/>
        </w:rPr>
        <w:t>E. 3.5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(Alfred Kölz/Isabelle Häner, Verwaltungsverfahren und Verwaltungs­rechts­pflege des Bundes, 2. Aufl., Zürich 1998, Rz. 694).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[vormaligen] Schweizerischen Asylrekurskommission [EMARK] 2004 Nr. 38 E. 7.1. S. 265; Fritz Gygi, Bundesverwaltungs­rechts­pflege, 2. Aufl., Bern 1983, S. 233). Im vorliegenden Fall ist es angezeigt, die Sache an das BFM als erste Instanz zu­rückzuweisen, damit dieses die erforderlichen Abklärungen vornimmt und de­ren Ergebnis im Rahmen eines neuen Entscheids festhält, da sich die Ent­scheidungsreife nicht mit geringem Aufwand herstellen lässt. Für eine Rückweisung spricht aber insbesondere auch, dass der Bruder der Beschwerdeführerin, C._______ (N [...]), dessen Asylgesuch derzeit beim BFM in erster Instanz hängig ist, ebenfalls geltend macht, dass er aufgrund des von der Mutter eingeleiteten Verfahrens Verfolgungsmassnahmen fürchte. Somit erscheint es angebracht, diese beiden Verfahren in diesem Punkt zu koordinieren.</w:t>
      </w:r>
    </w:p>
    <w:p>
      <w:r>
        <w:rPr>
          <w:b/>
        </w:rPr>
        <w:t>E. 4</w:t>
      </w:r>
    </w:p>
    <w:p>
      <w:r>
        <w:t>Die Beschwerde ist somit gutzuheissen, soweit die Aufhebung der ange­fochtenen Verfügung beantragt wird. Die vorinstanzliche Verfügung vom 14. Juni 2012 ist aufzuheben und die Sache in Anwendung von Art. 61 Abs. 1 in fine VwVG zur vollständigen und richtigen Sachverhaltsermitt­lung und Neubeurteilung im Sinne der Erwägungen ans BFM zurückzuweisen.</w:t>
      </w:r>
    </w:p>
    <w:p>
      <w:r>
        <w:rPr>
          <w:b/>
        </w:rPr>
        <w:t>E. 5</w:t>
      </w:r>
    </w:p>
    <w:p>
      <w:r>
        <w:t>Bei diesem Verfahrensausgang sind keine Kosten zu erheben (Art. 63 Abs. 1 VwVG). Der am 7. August 2012 geleistete Kostenvorschuss von Fr. 600.- ist der Beschwerdeführerin zurückzuerstatten.</w:t>
      </w:r>
    </w:p>
    <w:p>
      <w:r>
        <w:rPr>
          <w:b/>
        </w:rPr>
        <w:t>E. 6</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BFM anzuweisen, der Be­schwerdeführerin eine Parteientschädigung in der Höhe von pauschal Fr. 2'500.-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