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D-3780/2024 vom 7. Juni 2024</w:t>
      </w:r>
    </w:p>
    <w:p>
      <w:r>
        <w:t>Bundesverwaltungsgericht, 2024-06-07, DE</w:t>
      </w:r>
    </w:p>
    <w:p>
      <w:r>
        <w:rPr>
          <w:b/>
        </w:rPr>
        <w:t xml:space="preserve">Quelle: </w:t>
      </w:r>
      <w:r>
        <w:t>https://mcp.opencaselaw.ch/entscheid/bvger_D-3780_2024_d20240607</w:t>
      </w:r>
    </w:p>
    <w:p>
      <w:r>
        <w:t>FR: TAF D-3780/2024 du 7 juin 2024</w:t>
      </w:r>
    </w:p>
    <w:p>
      <w:r>
        <w:t>IT: TAF D-3780/2024 del 7 giugno 2024</w:t>
      </w:r>
    </w:p>
    <w:p>
      <w:pPr>
        <w:pStyle w:val="Heading2"/>
      </w:pPr>
      <w:r>
        <w:t>Regeste</w:t>
      </w:r>
    </w:p>
    <w:p>
      <w:r>
        <w:t>Asyl und Wegweisung (beschleunigtes Verfahren) | Asyl und Wegweisung (beschleunigtes Verfahren); Verfügung des SEM vom 7.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Zudem beglich er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D-3780/2024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wirft der Vorinstanz eine unrichtige Feststellung des Sachverhalts vor, da sie davon ausgehe, die Hizbullah gelte in der Tür- kei als Terrororganisation.</w:t>
      </w:r>
    </w:p>
    <w:p>
      <w:r>
        <w:rPr>
          <w:b/>
        </w:rPr>
        <w:t>E. 4.2</w:t>
      </w:r>
    </w:p>
    <w:p>
      <w:r>
        <w:t>Diese Rüge ist vorab zu prüfen, da sie allenfalls geeignet wäre, eine Kassation der vorinstanzlichen Verfügung zu bewirken (vgl. KIENER/ RÜTSCHE/KUHN, Öffentliches Verfahrensrecht; 3. Aufl. 2021, Rz. 1649).</w:t>
      </w:r>
    </w:p>
    <w:p>
      <w:r>
        <w:rPr>
          <w:b/>
        </w:rPr>
        <w:t>E. 4.3</w:t>
      </w:r>
    </w:p>
    <w:p>
      <w:r>
        <w:t>Mit der vom Beschwerdeführer vorgetragenen Rüge wird jedoch keine unrichtige respektive unvollständige Feststellung des Sachverhalts, son- dern vielmehr eine unrichtige Würdigung eben dieses Sachverhalts geltend gemacht. Sie beschlägt folglich die Frage der materiellen Richtigkeit der angefochtenen Verfügung (Frage der Schutzfähigkeit/Schutzwilligkeit). Eine Rückweisung der Sache an die Vorinstanz kommt daher nicht in Be- tracht.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D-3780/2024 Seite 6 Punkten zu wenig begründet oder in sich widersprüchlich sind, den Tatsa- chen nicht entsprechen oder massgeblich auf gefälschte oder verfälschte Beweismittel abgestützt werden (Art. 7 AsylG).</w:t>
      </w:r>
    </w:p>
    <w:p>
      <w:r>
        <w:rPr>
          <w:b/>
        </w:rPr>
        <w:t>E. 6.1</w:t>
      </w:r>
    </w:p>
    <w:p>
      <w:r>
        <w:t>Der Beschwerdeführer macht geltend, er sei während seines Militär- dienstes schwer misshandelt worden. Auf Beschwerdeebene wird geltend gemacht, dass der Beschwerdeführer dem Reservedienst zugeteilt worden sei. Würde er dieser Verpflichtung nachkommen, hätte er mit weiteren Misshandlungen zu rechnen. Zu diesem Vorbringen ist zu bemerken, dass sich die vorgebrachte Miss- handlung, die zum Verlust eines Teils des Daumens und einer Narbe am Kopf geführt habe, gemäss eigenen Angaben im (…) 2021 ereignet habe. Im (…) 2022 habe sein Militärdienst geendet und im (…) 2022 habe er die Türkei verlassen. Aufgrund des Zeitablaufs zwischen Misshandlung und Ausreise ist der Kausalzusammenhang zwischen dieser Vorverfolgung und der Ausreise als durchbrochen zu erachten (zum Erfordernis des zeitlichen uns sachlichen Kausalzusammenhangs vgl. WALTER STÖCKLI, in: Auslän- derrecht – Eine umfassende Darstellung der Rechtsstellung von Auslände- rinnen und Ausländer in der Schweiz, 3. Aufl. 2022, N 14.38) und es ist nicht mit hinreichender Wahrscheinlichkeit anzunehmen, dass er bei einer Absolvierung des Reservedienstes eine nochmalige Misshandlung von vergleichbarer Intensität erleiden würde.</w:t>
      </w:r>
    </w:p>
    <w:p>
      <w:r>
        <w:rPr>
          <w:b/>
        </w:rPr>
        <w:t>E. 6.2</w:t>
      </w:r>
    </w:p>
    <w:p>
      <w:r>
        <w:t>Hinsichtlich der vorgebrachten Verfolgung von Seiten der Hizbullah sind die türkischen Behörden als schutzwillig und schutzfähig zu erachten (vgl. dazu Urteil des BVGer D-2429/2024 vom 15. Mai 2024 E. 6.2 f.).</w:t>
      </w:r>
    </w:p>
    <w:p>
      <w:r>
        <w:rPr>
          <w:b/>
        </w:rPr>
        <w:t>E. 6.3</w:t>
      </w:r>
    </w:p>
    <w:p>
      <w:r>
        <w:t>Für die Befürchtung, aufgrund seiner Teilnahme an den Kobane-Pro- testen im Jahre 2014 verfolgt zu werden, lassen sich – wie bereits vom SEM ausgeführt – keine hinreichenden objektiven Anhaltspunkte finden. Der blosse Umstand, dass sein Bruder im Jahre 2022 offenbar zu einer Freiheitsstrafe verurteilt wurde, die gemäss Angaben des Beschwerdefüh- rers mit der Teilnahme dieses Bruders am Kobane-Protest zusammen- hängt, reicht für diese Annahme nicht aus.</w:t>
      </w:r>
    </w:p>
    <w:p>
      <w:r>
        <w:rPr>
          <w:b/>
        </w:rPr>
        <w:t>E. 6.4</w:t>
      </w:r>
    </w:p>
    <w:p>
      <w:r>
        <w:t>Das SEM hat folglich zu Recht die Flüchtlingseigenschaft verneint und das Asylgesuch abgelehnt.</w:t>
      </w:r>
    </w:p>
    <w:p>
      <w:r>
        <w:t>D-3780/2024 Seite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D-3780/2024 Seite 8</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anders als die Provinzen Hakkari und Sirnak) sowie der Entwicklungen nach dem Putschversuch von Teilen des türkischen</w:t>
      </w:r>
    </w:p>
    <w:p>
      <w:r>
        <w:t>D-3780/2024 Seite 9 Militärs im Juli 2016 ist gemäss konstanter Praxis des Bundesverwaltungs- gerichts nicht von einer Situation allgemeiner Gewalt oder bürgerkriegs- ähnlichen Verhältnissen in der Türkei – auch nicht für Angehörige der kur- dischen Ethnie – auszugehen. Aufgrund des Gesagten ist nicht von einer generellen Unzumutbarkeit des Vollzugs von Wegweisungen auszugehen (vgl. Referenzurteil E-1948/2018 vom 12. Juni 2018 E. 7.3.1 und Urteil des BVGer D-2452/2024 vom 18. Juli 2024 E. 11.3.2 m.w.H.).</w:t>
      </w:r>
    </w:p>
    <w:p>
      <w:r>
        <w:rPr>
          <w:b/>
        </w:rPr>
        <w:t>E. 8.3.3</w:t>
      </w:r>
    </w:p>
    <w:p>
      <w:r>
        <w:t>Das SEM wies zu Recht darauf hin, dass der Beschwerdeführer über eine universitäre Bildung, eine militärische Ausbildung sowie ein soziales Netz im Heimatland verfügt und – soweit aus den Akten ersichtlich – ge- sund ist. Der nicht weiter konkretisierte Einwand auf Beschwerdeebene, wonach der Beschwerdeführer aufgrund der Misshandlung im Militärdienst auf medizinische Betreuung angewiesen sei, vermag vor dem Hintergrund, dass er in der Anhörung ausführte, es gehe ihm gesundheitlich gut (vgl. act. […]29/12 F5), nicht zu verfangen. In Anbetracht dieser Umstände ist nicht ersichtlich, weshalb der Beschwerdeführer bei einer Rückkehr in eine existenzielle Notlage geraten könnte. Die Zumutbarkeit ist folglich zu beja- hen.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D-3780/2024 Seite 10 SR 173.320.2]). Für deren Begleichung ist der in gleicher Höhe bezahlte Kostenvorschuss zu verwenden.</w:t>
      </w:r>
    </w:p>
    <w:p>
      <w:r>
        <w:t>(Dispositiv nächste Seite)</w:t>
      </w:r>
    </w:p>
    <w:p>
      <w:r>
        <w:t>D-3780/2024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