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D-3776/2022 vom 8. September 2022</w:t>
      </w:r>
    </w:p>
    <w:p>
      <w:r>
        <w:t>Bundesverwaltungsgericht, 2022-09-08, DE</w:t>
      </w:r>
    </w:p>
    <w:p>
      <w:r>
        <w:rPr>
          <w:b/>
        </w:rPr>
        <w:t xml:space="preserve">Quelle: </w:t>
      </w:r>
      <w:r>
        <w:t>https://mcp.opencaselaw.ch/entscheid/bvger_D-3776_2022</w:t>
      </w:r>
    </w:p>
    <w:p>
      <w:r>
        <w:t>FR: TAF D-3776/2022 du 8 septembre 2022</w:t>
      </w:r>
    </w:p>
    <w:p>
      <w:r>
        <w:t>IT: TAF D-3776/2022 del 8 settembre 2022</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105 AsylG i.V.m. Art. 31 VGG ist das Bundesverwaltungsgericht zur Beurteilung von Beschwerden auf dem Gebiet des Asyls zuständig und entscheidet über diese in der Regel - wie auch vorliegend - endgültig (vgl. Art. 83 Bst. d Ziff. 1 BGG). Die Beschwerdeführenden sind als Verfügungsadressaten zur Beschwerdeführung legitimiert (Art. 48 Abs. 1 VwVG). Auf die frist- und formgerecht eingereichte Beschwerde ist einzutreten (Art. 108 Abs. 3 AsylG [SR 142.31]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w:t>
      </w:r>
    </w:p>
    <w:p>
      <w:r>
        <w:rPr>
          <w:b/>
        </w:rPr>
        <w:t>E. 2.3</w:t>
      </w:r>
    </w:p>
    <w:p>
      <w:r>
        <w:t>Die vorliegende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Die Beschwerdeführenden rügen in formeller Hinsicht, die Vorinstanz habe den medizinischen Sachverhalt sowie denjenigen hinsichtlich der momentanen Situation der Asylverfahren beziehungsweise der Überflutung Polens infolge des ukrainischen Flüchtlingsstroms zu wenig abgeklärt.</w:t>
      </w:r>
    </w:p>
    <w:p>
      <w:r>
        <w:rPr>
          <w:b/>
        </w:rPr>
        <w:t>E. 3.2</w:t>
      </w:r>
    </w:p>
    <w:p>
      <w:r>
        <w:t>Die unrichtige oder unvollständige Feststellung des rechtserheblichen Sachverhalts kann nach Art. 49 Bst. b VwVG gerügt werden. Unrichtig ist die Sachverhaltsfeststellung beispielsweise dann, wenn einer Verfügung ein aktenwidriger oder nicht weiter belegbarer Sachverhalt zugrunde gelegt wird. Unvollständig ist die Sachverhaltsfeststellung, wenn die Behörde trotz der geltenden Untersuchungsmaxime (Art. 12 ff. VwVG i.V.m. Art. 37 VGG) den Sachverhalt nicht von Amtes wegen abklärt, oder nicht alle für den Entscheid wesentlichen Sachumstände berücksichtigt (vgl. Benjamin Schindler, in: Kommentar zum VwVG, 2. Aufl. 2019, Art. 49 N. 29).</w:t>
      </w:r>
    </w:p>
    <w:p>
      <w:r>
        <w:rPr>
          <w:b/>
        </w:rPr>
        <w:t>E. 3.3</w:t>
      </w:r>
    </w:p>
    <w:p>
      <w:r>
        <w:t>Der Gesundheitszustand der Beschwerdeführerinnen ist durch mehrere Arztberichte dokumentiert (A9/15, A31/2; A47/4; A48/7, A55/7). Als Diagnosen wurden bei der Beschwerdeführerin 2 Vitamin-D- und Eisenmangel sowie Verdacht auf Epilepsie (als stressbedingte Panikattacke) und auf Anpassungsstörungen, psychogene Snkopen (kurze Bewusstlosigkeit) wie auch klassische Migräne attestiert, während bei der Beschwerdeführerin 3 aus dem Arztbericht von Medic-Help eine leichte Traumafolgestörung, Verstopfungsprobleme, Karies und eine fragliche Nussallergie hervorgehen (A48/7; A55/7). Weitere medizinische Abklärungen waren - auch angesichts der aus den medizinischen Dokumenten hervorgehenden beabsichtigten Massnahmen (Anbindung der Beschwerdeführerinnen 2 und 3 an einen Psychologen; keine physischen Indikationen) - nicht angezeigt. Unter Berücksichtigung des vorhandenen Zugangs zu medizinischer Versorgung in Polen (vgl. E. 7.3.1) war die Vorinstanz nicht gehalten, diesbezüglich weitere Abklärungen zu tätigen. Alsdann wurden auf Beschwerdeebene keine neuen oder andere gesundheitliche Beschwerden vorgebracht, wobei der nicht belegten, angedeuteten Verschlechterung der bisherigen psychischen Leiden bei den Überstellungsmodalitäten Rechnung getragen werden kann.</w:t>
      </w:r>
    </w:p>
    <w:p>
      <w:r>
        <w:rPr>
          <w:b/>
        </w:rPr>
        <w:t>E. 3.4</w:t>
      </w:r>
    </w:p>
    <w:p>
      <w:r>
        <w:t>Die Vorinstanz hat alsdann zu Recht - auch unter Berücksichtigung der bundesverwaltungsgerichtlichen Rechtsprechung (Urteil F-3384/2022 vom 15. August 2022, E. 6.3) - keine Hinweise auf eine Überlastung des polnischen Asyl- oder Gesundheitssystems festgestellt. Aus denselben Gründen ist auch das Eventualbegehren, die Sache an die Vorinstanz zurückzuweisen und diese anzuweisen, von den polnischen Behörden individuelle Zusicherungen bezüglich des Zugangs zur medizinischen Grundversorgung und zur adäquaten Unterbringung einzuholen, abzuweisen (vgl. auch nachstehend Erwägung 7.4).</w:t>
      </w:r>
    </w:p>
    <w:p>
      <w:r>
        <w:rPr>
          <w:b/>
        </w:rPr>
        <w:t>E. 3.5</w:t>
      </w:r>
    </w:p>
    <w:p>
      <w:r>
        <w:t>Somit hat sie den rechtserheblichen Sachverhalt richtig und vollständig festgestellt. Es besteht keine Veranlassung, die angefochtene Verfügung aufzuheben und die Sache an die Vorinstanz zurückzuweisen. Die entsprechenden (Eventual-) Begehren sind abzuweisen.</w:t>
      </w:r>
    </w:p>
    <w:p>
      <w:r>
        <w:rPr>
          <w:b/>
        </w:rPr>
        <w:t>E. 4.1</w:t>
      </w:r>
    </w:p>
    <w:p>
      <w:r>
        <w:t>Die Beschwerdeführenden machen geltend, sie würden in Polen über keine gültigen Aufenthaltstitel verfügen und sie hätten dort auch kein Asylgesuch gestellt.</w:t>
      </w:r>
    </w:p>
    <w:p>
      <w:r>
        <w:rPr>
          <w:b/>
        </w:rPr>
        <w:t>E. 4.2</w:t>
      </w:r>
    </w:p>
    <w:p>
      <w:r>
        <w:t>Hierzu ist festzuhalten, dass entgegen der Ansicht der Beschwerdeführenden ein eingereichtes Asylgesuch in einem anderen Mitgliedstaat nicht Voraussetzung für die Anwendung der Dublin-III-VO ist. Diese kommt etwa auch zur Anwendung, wenn die betroffene Person erstmals in der Schweiz ein Asylgesuch stellt, aber über einen gültigen oder abgelaufenen Aufenthaltstitel eines anderen Mitgliedstaates verfügt (vgl. Art. 12 Dublin-III-VO).</w:t>
      </w:r>
    </w:p>
    <w:p>
      <w:r>
        <w:rPr>
          <w:b/>
        </w:rPr>
        <w:t>E. 5.1</w:t>
      </w:r>
    </w:p>
    <w:p>
      <w:r>
        <w:t>Auf Asylgesuche ist in der Regel nicht einzutreten,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dieses 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5.3</w:t>
      </w:r>
    </w:p>
    <w:p>
      <w:r>
        <w:t>Besitzt ein Antragsteller einen gültigen Aufenthaltstitel, so ist derjenige Mitgliedstaat für die Prüfung des Antrags auf internationalen Schutz zuständig, der den Aufenthaltstitel ausgestellt hat (Art. 12 Abs. 1 Dublin-III-VO). Dasselbe gilt, wenn der Aufenthaltstitel seit weniger als zwei Jahren abgelaufen ist, sofern der Antragsteller das Hoheitsgebiet der Mitgliedstaaten nicht verlassen hat (Art. 12 Abs. 4 Dublin-III-VO). Die Beschwerdeführenden haben vor ihrer Einreise in die Schweiz in keinem Drittstaat ein Asylgesuch gestellt. Indessen verfügt der Beschwerdeführer 1 über einen Aufenthaltstitel in Polen, der erst am 14. Juli 2022 abgelaufen ist und derjenige der Beschwerdeführerin 2 ist noch bis am 20. Juli 2024 gültig (A18/3 f.). Die polnischen Behörden stimmten dem Übernahmeersuchen der Vorinstanz gestützt auf Art. 12 Abs. 1 Dublin-III-VO fristgerecht für alle drei Beschwerdeführenden im Sinne der Behandlung als Familie (A49/1, A51/1, A53/1) zu. Es sind - entgegen der Behauptung der Beschwerdeführenden - keine Anhaltspunkte ersichtlich, dass die abgelaufene Aufenthaltsbewilligung des Beschwerdeführers 1 oder die noch fehlende der Beschwerdeführerin 3 für die Übernahme Polens eine Rolle spielen könnte, zumal alle drei Beschwerdeführenden (gemäss den Zustimmungsdokumenten der polnischen Behörden; A49/1, A51/1, A53/1) als Familie und nicht separat behandelt werden. Die Zuständigkeit Polens ist somit grundsätzlich gegeben. Wie in E.4.2 gesehen, macht es keinen Unterscheid, dass die Beschwerdeführenden in Polen keine Asylgesuche gestellt haben.</w:t>
      </w:r>
    </w:p>
    <w:p>
      <w:r>
        <w:rPr>
          <w:b/>
        </w:rPr>
        <w:t>E. 6.1</w:t>
      </w:r>
    </w:p>
    <w:p>
      <w:r>
        <w:t>Im Lichte von Art. 3 Abs. 2 Dublin-III-VO ist zu prüfen, ob es wesentliche Gründe für die Annahme gibt, das Asylverfahren und die Aufnahmebedingungen für Asylsuchende in Polen würden systemische Schwachstellen aufweisen, die eine Gefahr einer unmenschlichen oder entwürdigenden Behandlung im Sinne des Artikels 4 der EU-Grundrechtecharta mit sich bringen. Erweist es sich aufgrund solcher systemischer Schwachstellen als unmöglich, einen Antragsteller an den zunächst als zuständig bestimmten Mitgliedstaat zu überstellen,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6.2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7.1</w:t>
      </w:r>
    </w:p>
    <w:p>
      <w:r>
        <w:t>Polen ist Signatarstaat der EMRK, des Übereinkommens vom 10. Dezember 1984 gegen Folter und andere grausame, unmenschliche oder erniedrigende Behandlung oder Strafe (FoK, SR 0.105) und der FK sowie des Zusatzprotokolls der FK vom 31. Januar 1967 (SR 0.142.301).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ergeben. Zudem gibt es keine Anhaltspunkte - noch wurden solche konkret von den Beschwerdeführenden dargetan -, dass Polen seine aus diesen Konventionen entstehenden völkerrechtlichen Verpflichtungen nicht einhalten oder den Beschwerdeführenden die ihnen gemäss der Aufnahmerichtlinie zustehenden minimalen Lebensbedingungen dauerhaft vorenthalten oder sich weigern würde, einen Antrag auf internationalen Schutz unter Einhaltung der Verfahrensrichtlinie zu prüfen oder sie aufzunehmen. Ebensowenig bestehen Hinweise darauf, die Aufnahmebedingungen für Antragstellende in Polen würden systemische Schwachstellen im Sinne von Art. 3 Abs. 2 Dublin-III-VO aufweisen. Den Akten sind auch keine Gründe für die Annahme zu entnehmen, Polen werde den Grundsatz des Non-Refoulement missachten und die Beschwerdeführenden zur Ausreise in ein Land zwingen, in dem ihr Leib, ihr Leben oder ihre Freiheit aus einem Grund nach Art. 3 Abs. 1 AsylG gefährdet ist oder in dem sie Gefahr laufen würden, zur Ausreise in ein solches Land gezwungen zu werden. Bei allfälligen Problemen der Beschwerdeführenden mit Drittpersonen (wie dem Exmann der Beschwerdeführerin 2) oder vorübergehenden Einschränkungen der minimalen Lebensbedingungen, steht es ihnen frei, sich an die polnischen Behörden zu wenden und nötigenfalls in Polen - als Rechtsstaat mit funktionierender Polizeibehörde und funktionierendem Justizsystem - den Rechtsweg zu beschreiten. Gleiches gilt für das Anliegen der Beschwerdeführerin 2 hinsichtlich ihrer erstgeborenen Tochter, welche bei ihrem Vater lebe und von diesem ohne Erlaubnis ihrerseits nach Deutschland gebracht worden sei und welche sie zukünftig in ihrer Obhut zu haben wünsche.</w:t>
      </w:r>
    </w:p>
    <w:p>
      <w:r>
        <w:rPr>
          <w:b/>
        </w:rPr>
        <w:t>E. 7.2</w:t>
      </w:r>
    </w:p>
    <w:p>
      <w:r>
        <w:t>Der Vorwurf der Beschwerdeführenden, das Kindeswohl sei bei einer Rückweisung angesichts einer erneuten Veränderung der Umgebung (gesundheitliche Verschlechterung durch «herausreissen aus dem aktuellen Umfeld» und Rückkehr in dieselbe Umgebung wie der Vater) ungenügend berücksichtigt worden, erweist sich als unzutreffend. Schliesslich reiste die Beschwerdeführerin selbst innert den letzten Monaten von Polen nach Georgien, Spanien und in die Schweiz. Nach einem Verbleib von erst knapp drei Monaten in der Schweiz kann nicht von einer Verwurzelung des erst fünfjährigen Mädchens ausgegangen werden. In diesem Zusammenhang ist darauf hinzuweisen, dass Polen Signatarstaat der Kinderrechtskonvention (KRK) ist, weshalb eine Überstellung dorthin weder eine Verletzung von Art. 3 KRK noch Art. 3 EMRK bedeutet. Im Weiteren ist hinsichtlich der medizinischen und psychologischen Betreuung des Kindes auf die nachstehende Erwägung (Infrastruktur in Polen) zu verweisen.</w:t>
      </w:r>
    </w:p>
    <w:p>
      <w:r>
        <w:rPr>
          <w:b/>
        </w:rPr>
        <w:t>E. 7.3.1</w:t>
      </w:r>
    </w:p>
    <w:p>
      <w:r>
        <w:t>Die Vorinstanz hat sich mit den geltend gemachten psychischen Problemen der Beschwerdeführerinnen 2 und 3 ausführlich auseinandergesetzt (vi-Entscheid, S. 6 f.). Die bereits in Erwägung 3.3 des vorliegenden Urteils erwähnten gesundheitlichen Probleme sind in mehreren medizinischen Berichten dokumentiert (A9/15, A31/2; A47/4; A48/7, A55/7; Beschwerdeführerin 2: Vitamin-D- und Eisenmangel, Verdacht auf Epilepsie als stressbedingte Panikattacke und Anpassungsstörungen, psychogene Snkopen, Migräne; Beschwerdeführerin 3: leichte Traumafolgestörung, Verstopfungsprobleme, Karies, Nussallergie). Sollten sie nach der Rückkehr nach Polen psychologische oder medizinische Behandlung benötigen, ist darauf hinzuweisen, dass Polen über eine ausreichende medizinische Infrastruktur verfügt. Die 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psychologischer Betreuung, zu gewähren (Art. 19 Abs. 2 Aufnahmerichtlinie). Es liegen - entgegen der Behauptung der Beschwerdeführenden - keine Hinweise vor, wonach Polen den Beschwerdeführerinnen eine adäquate medizinische oder psychlologische Behandlung verweigern würde.</w:t>
      </w:r>
    </w:p>
    <w:p>
      <w:r>
        <w:rPr>
          <w:b/>
        </w:rPr>
        <w:t>E. 7.3.2</w:t>
      </w:r>
    </w:p>
    <w:p>
      <w:r>
        <w:t>Eine zwangsweise Rückweisung von Personen mit gesundheitlichen Problemen kann alsdann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offenkundig nicht gegeben. Die genannten Diagnosen der Beschwerdeführerinnen sind nicht von derartiger Schwere, dass sie die Feststellung der Unzulässigkeit im Sinne der restriktiven Rechtsprechung zu rechtfertigen vermöchten oder aus humanitären Gründen von einer Überstellung abgesehen werden müsste. Zudem wird den gesundheitlichen Beschwerden der Beschwerdeführerinnen bei den Überstellungsmodalitäten - wie bereits erwähnt - Rechnung getragen werden (A 57/1). Es sind bei den Beschwerdeführenden insgesamt keine akuten Gesundheitsrisiken beziehungsweise Beschwerden ersichtlich, welche einer Überstellung nach Polen entgegenstehen würden. Sie könnten alsdann höchstens die Reisefähigkeit tangieren, welche im Zeitpunkt der tatsächlichen Überstellung konkret abzuklären ist.</w:t>
      </w:r>
    </w:p>
    <w:p>
      <w:r>
        <w:rPr>
          <w:b/>
        </w:rPr>
        <w:t>E. 7.4</w:t>
      </w:r>
    </w:p>
    <w:p>
      <w:r>
        <w:t>Nach dem Gesagten droht keine Verletzung von Art. 3 EMRK, weshalb die Schweiz nicht zum Selbsteintritt nach Art. 17 Abs. 1 Dublin-III-VO verpflichtet ist. Zudem räumt die genannte Ermessensklausel von Art. 17 Dublin-III-Verordnung den Schutzsuchenden kein Recht ein, den ihren Antrag prüfenden Staat selber auszuwählen (vgl. auch BVGE 2010/45 E. 8.3). Auch humanitäre Gründe i.S.v. Art. 29a Abs. 3 AsylV 1 liegen nicht vor.</w:t>
      </w:r>
    </w:p>
    <w:p>
      <w:r>
        <w:rPr>
          <w:b/>
        </w:rPr>
        <w:t>E. 7.5</w:t>
      </w:r>
    </w:p>
    <w:p>
      <w:r>
        <w:t>Somit konnten die Beschwerdeführenden kein konkretes und ernsthaftes Risiko dartun, dass ihre Überstellung nach Polen die Verletzung völkerrechtlicher Bestimmungen zur Folge hätte.</w:t>
      </w:r>
    </w:p>
    <w:p>
      <w:r>
        <w:rPr>
          <w:b/>
        </w:rPr>
        <w:t>E. 7.6</w:t>
      </w:r>
    </w:p>
    <w:p>
      <w:r>
        <w:t>Des Weiteren liegen auch keine Anhaltspunkte für eine pflichtwidrige Ermessensbetätigung durch die Vorinstanz bei der Prüfung eines allfälligen Selbsteintritts vor, weshalb sich das Gericht weiterer Ausführungen zur Frage des Selbsteintritts zu enthalten hat.</w:t>
      </w:r>
    </w:p>
    <w:p>
      <w:r>
        <w:rPr>
          <w:b/>
        </w:rPr>
        <w:t>E. 8</w:t>
      </w:r>
    </w:p>
    <w:p>
      <w:r>
        <w:t>Das SEM ist demnach zu Recht in Anwendung von Art. 31a Abs. 1 Bst. b AsylG auf die Asylgesuche der Beschwerdeführenden nicht eingetreten. Da die Beschwerdeführenden nicht im Besitz einer gültigen Aufenthalts- oder Niederlassungsbewilligung sind, wurde die Überstellung nach Polen in Anwendung von Art. 44 AsylG ebenfalls zu Recht angeordnet (Art. 32 Bst. a AsylV 1).</w:t>
      </w:r>
    </w:p>
    <w:p>
      <w:r>
        <w:rPr>
          <w:b/>
        </w:rPr>
        <w:t>E. 9</w:t>
      </w:r>
    </w:p>
    <w:p>
      <w:r>
        <w:t>Im Ergebnis ist die Beschwerde abzuweisen und die Verfügung des SEM zu bestätigen. Die Anträge auf Anordnung eines Vollzugsstopps und Erteilung der aufschiebenden Wirkung sind damit gegenstandslos geworden. Ebenso erweist sich mit Ergehen des vorliegenden Urteils das Gesuch um Verzicht auf das Erheben eines Kostenvorschusses als gegenstandslos.</w:t>
      </w:r>
    </w:p>
    <w:p>
      <w:r>
        <w:rPr>
          <w:b/>
        </w:rPr>
        <w:t>E. 10.1</w:t>
      </w:r>
    </w:p>
    <w:p>
      <w:r>
        <w:t>Die Begehren erweisen sich als aussichtslos, weshalb die Gesuche um Gewährung der unentgeltlichen Prozessführung und amtlichen Rechtsverbeiständung ungeachtet einer allfälligen prozessualen Bedürftigkeit abzuweisen sind (Art. 65 Abs. 1 und 2 VwVG).</w:t>
      </w:r>
    </w:p>
    <w:p>
      <w:r>
        <w:rPr>
          <w:b/>
        </w:rPr>
        <w:t>E. 10.2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