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D-3775/2018 vom 3. März 2020</w:t>
      </w:r>
    </w:p>
    <w:p>
      <w:r>
        <w:t>Bundesverwaltungsgericht, 2020-03-03, DE</w:t>
      </w:r>
    </w:p>
    <w:p>
      <w:r>
        <w:rPr>
          <w:b/>
        </w:rPr>
        <w:t xml:space="preserve">Quelle: </w:t>
      </w:r>
      <w:r>
        <w:t>https://mcp.opencaselaw.ch/entscheid/bvger_D-3775_2018</w:t>
      </w:r>
    </w:p>
    <w:p>
      <w:r>
        <w:t>FR: TAF D-3775/2018 du 3 mars 2020</w:t>
      </w:r>
    </w:p>
    <w:p>
      <w:r>
        <w:t>IT: TAF D-3775/2018 del 3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verfahrensrechtlichen Rügen des Beschwerdeführers sind vorab zu prüfen, da sie allenfalls zu einer Kassation der angefochtenen Verfügung führen könnten.</w:t>
      </w:r>
    </w:p>
    <w:p>
      <w:r>
        <w:rPr>
          <w:b/>
        </w:rPr>
        <w:t>E. 3.1</w:t>
      </w:r>
    </w:p>
    <w:p>
      <w:r>
        <w:t>Der Beschwerdeführer rügt, das SEM habe den Sachverhalt unvollständig, zum Teil aber auch falsch, festgestellt und gewürdigt. Die Demonstration vom (...) 2014 habe sich nicht nur gegen den Völkermord an den Oromo und gegen Landenteignung, sondern auch gegen den «Addis Abeba Integrated Regional Development Plan» («Addis Abeba Masterplan») gerichtet. Damit fehle im Sachverhalt das politisch brisante Anfechtungsobjekt der Demonstranten. Habe doch gerade die öffentliche Kritik der Studenten an diesem Vorhaben der Regierung, Äthiopiens Hauptstadt mit den Oromo-Gebieten im Umland zu «verbinden», zu den gewaltsamen Auseinandersetzungen mit den Sicherheitskräften geführt, die für hunderte von Oromo den Tod und für Tausende Inhaftierung und Folter bedeutet hätten. Gerade bei der Demonstration vom (...) 2014 seien sehr viele Menschen verhaftet, verletzt und getötet worden. Es kann zwar bestätigt werden, dass das SEM in seiner Verfügung den «Addis Abeba Masterplan» nicht explizit erwähnte. Das SEM hat aber in seiner Verfügung richtig festgehalten, dass es an dieser Demonstration um die Rechte der Oromo ging. Damit hat es der korrekten und vollständigen Sachverhaltsfeststellung Genüge getan.</w:t>
      </w:r>
    </w:p>
    <w:p>
      <w:r>
        <w:rPr>
          <w:b/>
        </w:rPr>
        <w:t>E. 3.2</w:t>
      </w:r>
    </w:p>
    <w:p>
      <w:r>
        <w:t>Weiter moniert der Beschwerdeführer, das SEM habe gemäss Rechtsprechung des Bundesverwaltungsgerichts den Untersuchungsgrundsatz und die Begründungspflicht verletzt (vgl. Urteil des Bundesverwaltungsgerichts E-6762/2017 vom 22. Februar 2018 E. 4.4 und D-2399/2017 vom 26. Oktober 2017 E. 6.5), indem es die aktuelle Situation in Äthiopien nicht berücksichtigt habe und nur auf den Friedensplan zwischen Äthiopien und Eritrea hingewiesen habe. Dieser Rüge ist stattzugeben. Die Verfügung erging am 12. April 2018 und damit kurz nach der Wahl Abiy Ahmeds zum Premierminister vom 2. April 2018. Zu diesem Zeitpunkt lediglich auf den Friedensplan zwischen Äthiopien und Eritrea hinzuweisen, muss als mangelhafte Sachverhaltsfeststellung und Verletzung der Begründungspflicht gewertet werden (vgl. die vom Beschwerdeführer zitierte Rechtsprechung des Bundesverwaltungsgerichts). Da das SEM aber in seiner Vernehmlassung auf die aktuellen politischen Ereignisse Anfang 2018 eingegangen ist, kann der Verfahrensmangel als geheilt gelten.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Vorbringen des Beschwerdeführers seien nicht glaubhaft. Er habe seine (...)monatige Haft im Jahr 2013 substanzlos geschildert. So habe er lediglich angegeben, er sei dort misshandelt worden, habe nur wenig Essen erhalten, die Schlafmöglichkeiten seien miserabel gewesen, er habe auf dem kalten Boden schlafen müssen und es habe Ungeziefer gegeben. Gebeten, weitere Angaben zu machen, habe er lediglich das Gesagte wiederholt und mit dem Toilettengang ergänzt. Angaben zum konkreten Entlassungsvorgang seien völlig ausgeblieben. Mit der gleichen Substanzlosigkeit beschreibe er auch die mehrmonatige Haft im Jahre 2014. Mehrmals gebeten, das Ankunftsprozedere ausführlich zu beschreiben, sei er dazu nicht in der Lage gewesen. Bei der Nachfrage, ob bei den Verhören nach seinem Tatbeitrag gefragt worden sei, habe er lediglich wiederholt, dass sie die Namen von anderen Personen hätten wissen wollen. Erst bei der vierten Nachfrage habe er angegeben, ihm sei Aufhetzung, Aufklärung und die Organisation von Demonstrationen vorgeworfen worden, wobei auch diese Aussagen vage ausgefallen seien. Nach einer Anklage oder einem Gerichtsverfahren gefragt, habe er angegeben, in Äthiopien gebe es keine Rechtsprechung, was in dieser Pauschalität nicht zutreffe. Angesichts seines Profils als politischer Oppositioneller, der in Haft schwer misshandelt worden sei, wäre es zudem nicht plausibel, dass die Behörden ausgerechnet von ihm erwartet hätten, dass er mit ihnen als Spitzel kollaboriere. Eher würden sie versuchen, Personen aus den eigenen Reihen einzuschleusen. Dass er seine Freilassung nicht dazu benutze, Spitzeltätigkeiten auszuüben, sondern um unterzutauchen, hätte für die Behörden auf der Hand liegen müssen. Die Festhaltungen in den früheren Jahren seien zeitlich nicht kausal für seine Ausreise gewesen, wäre er doch sonst schon früher ausgereist und hätte nicht im Jahr 2014 einen unglaubhaften Sachverhalt vorgeschoben. Zum exilpolitischen Engagement gelte es festzuhalten, dass die blosse Teilnahme an Demonstrationen zu keiner Verfolgung durch die äthiopischen Behörden führen würde. Die äthiopischen Behörden hätten nur dann ein Interesse an der Identifizierung einer Person, wenn deren Aktivitäten als konkrete Bedrohung für das politische System wahrgenommen würden. Im Falle des Beschwerdeführers bestünden keine Anhaltspunkte für die Annahme, dass er sich in besonderer Weise betätigt und exponiert habe. Die eingereichten Fotografien würden lediglich die Teilnahme an verschiedenen Demonstrationen in Gebäudeinneren und unter Gleichgesinnten, nicht aber besonders exponierte Tätigkeiten belegen. Da er dem SEM zudem keine gültigen Identitätspapiere vorgelegt habe, stehe auch nicht fest, dass er in der Schweiz mit seiner tatsächlichen Identität in Erscheinung trete.</w:t>
      </w:r>
    </w:p>
    <w:p>
      <w:r>
        <w:rPr>
          <w:b/>
        </w:rPr>
        <w:t>E. 5.2</w:t>
      </w:r>
    </w:p>
    <w:p>
      <w:r>
        <w:t>Der Beschwerdeführer hielt dem in seiner Rechtsmitteleingabe entgegen, das SEM verkenne in seiner Glaubhaftigkeitsprüfung die Tatsache, dass Traumatisierte oft Mühe bekunden würden, sich an die genauen Vorkommnisse zu erinnern. In Bezug auf die substanzlose Schilderung der Haft im Jahre 2013 habe sich aus der Fragestellung an der Anhörung nicht ergeben, welche zusätzlichen Angaben er denn noch hätte machen sollen. Die Frage «Wie lief diese sonst noch ab?» habe er mit konkreten Angaben zur Haft beantwortet (Essen, Toilettengang, Schlafmöglichkeiten; vgl. B7 F24 und F28). Nicht gewürdigt habe die Vorinstanz seine Angaben zu den Verhören. Auf die Frage, «Wie erfolgte Ihre Freilassung?», habe er legitim mit Angaben zu den spezifischen Auflagen und Drohungen geantwortet (vgl. B7 F29). Hätte die befragende Person organisatorische Angaben haben wollen, hätte sie dies präzisieren müssen. Auch in Bezug auf das Ankunftsprozedere bei der Haft im Jahre 2014 sei auf die allgemeine Fragestellung des SEM hinzuweisen, aus der nicht klar geworden sei, was dieses von ihm habe hören wollen. Organisatorisches Vorgehen mache zudem vor dem Hintergrund der Verhaftungs- und Gefängnissituation in Äthiopien ohnehin wenig Sinn. Wiederum legitim habe er geantwortet, dass er ins Gefängnis gebracht und in der Nacht einmal verhört worden sei. Über Sinn und Zweck seiner Verhaftung könne er nur spekulieren. Angesichts der Realität in Äthiopien sei sein Tatbeitrag wahrscheinlich von untergeordneter Bedeutung gewesen. Es reiche aus, mutmasslicher Gegner des Regimes und dazu noch Oromo zu sein, um ohne Haftbefehl, Anklage und gerichtliche Überprüfung verfolgt, entführt, verhaftet und gefoltert zu werden. Die gegenteiligen Erwartungen der Vorinstanz zum «Rechtssystem» in Äthiopien könnten ihm nicht zum Vorwurf gemacht werden. Die Vermutung der Vorinstanz, wonach die Behörden ihn nicht als Spitzel benutzt hätten, würden auf keinerlei erkennbaren Fakten basieren. Gerade aufgrund der massiven Einschüchterung durch die Haft und deren Umstände hätte er sich hierzu geeignet. Letztlich erwähne das SEM bei seiner Glaubhaftigkeitsprüfung nicht das von ihm eingereichte therapeutische Gutachten, wonach seine Aussagen klar, überzeugend und glaubwürdig seien. Zur fehlenden zeitlichen Kausalität in Bezug auf die früheren Festhaltungen gelte es anzumerken, dass er erst 2014 ausgereist sei, weil diese Verhaftung im Unterschied zu den früheren Festhaltungen länger gedauert habe und er gefoltert worden sei. Ausserdem werde in der Verfügung kein Bezug auf die aktuelle Situation in Äthiopien genommen. Dies gelte auch in Zusammenhang mit seinem exilpolitischen Engagement. Schliesslich gelte es festzuhalten, dass ihm als Oromo und als politisch aktiver Student niemals rechtsgenügliche Identitätspapiere ausgestellt worden seien.</w:t>
      </w:r>
    </w:p>
    <w:p>
      <w:r>
        <w:rPr>
          <w:b/>
        </w:rPr>
        <w:t>E. 5.3</w:t>
      </w:r>
    </w:p>
    <w:p>
      <w:r>
        <w:t>In seiner Vernehmlassung hielt das SEM fest, die Fragen an der Anhörung seien so formuliert gewesen, dass der Beschwerdeführer Gelegenheit zur ausführlichen freien Schilderung gehabt hätte. Trotz mehrfachen Nachfragens und Ersuchens um ausführliche Berichterstattung, sei eine solche nicht erfolgt, selbst wenn er gezielt auf die zu erwartenden Angaben angesprochen worden sei. Zur aktuellen politischen Situation gelte es festzuhalten, dass sich die Situation der Oromo nach der Aufhebung des Ausnahmezustandes im Jahr 2017 verbessert habe. Der im Jahre 2018 erneut ausgerufene Ausnahmezustand sei kurze Zeit später wieder aufgehoben worden. Nun bekleide erstmals ein Oromo-Angehöriger das Amt des Ministerpräsidenten. Die Lage sei zwar angespannt, es fehle aber an Anhaltspunkten, dass Oromo-Volkszugehörigen generell mit beachtlicher Wahrscheinlichkeit Verfolgung drohe. Ein therapeutisches Gutachten sei mit dem Gesuch nicht eingereicht worden, sondern lediglich ein Bericht einer Psychoanalytikerin. Dieser sei gewürdigt worden.</w:t>
      </w:r>
    </w:p>
    <w:p>
      <w:r>
        <w:rPr>
          <w:b/>
        </w:rPr>
        <w:t>E. 6.1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Vorliegend sprechen gewisse Elemente für die Glaubhaftigkeit der Aussagen des Beschwerdeführers und andere dagegen. Die Frage der Glaubhaftigkeit kann aber letztendlich ohnehin offengelassen werden, da die Vorbringen des Beschwerdeführers - wie nachfolgend dargelegt - den Anforderungen an die Flüchtlingseigenschaft nicht zu genügen vermögen.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Oromo Liberation Front (OLF), Ogaden National Liberation Front (ONLF) und Ginbot 7, die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Trotz der weiterhin herrschenden ethnischen Spannungen und Protestbewegungen in Äthiopien ist die Situation seit Amtsantritt von Premierminister Abiy Ahmed stabiler (vgl. Referenzurteil des BVGer D-6630/2018 vom 6. Mai 2019 E. 7). An dieser Einschätzung vermögen die Ausführungen des Beschwerdeführers in seiner Eingabe vom 3. Januar 2020 nichts zu ändern.</w:t>
      </w:r>
    </w:p>
    <w:p>
      <w:r>
        <w:rPr>
          <w:b/>
        </w:rPr>
        <w:t>E. 7.3</w:t>
      </w:r>
    </w:p>
    <w:p>
      <w:r>
        <w:t>Vor diesem Hintergrund ist nicht davon auszugehen, dass der Beschwerdeführer als Oromo mit bescheidenem politischen Profil - Teilnahme an Demonstrationen in Äthiopien und der Schweiz - und aufgrund seiner geltend gemachten Vorgeschichte im heutigen Zeitpunkt bei einer Rückkehr nach Äthiopien seitens der heimatlichen Behörden asylrechtlich relevanter Verfolgung ausgesetzt wäre.</w:t>
      </w:r>
    </w:p>
    <w:p>
      <w:r>
        <w:rPr>
          <w:b/>
        </w:rPr>
        <w:t>E. 7.4</w:t>
      </w:r>
    </w:p>
    <w:p>
      <w:r>
        <w:t>Die vom Beschwerdeführer geltend gemachte Vorverfolgung wäre ausnahmsweise auch nach Wegfall einer zukünftigen Verfolgungsgefahr im Sinne von Art. 3 AsylG als asylrechtlich relevant zu betrachten, wenn eine Rückkehr in den früheren Verfolgerstaat aus zwingenden, auf diese Verfolgung zurückgehenden Gründen nicht zumutbar ist. Als "zwingende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Von solchen Umständen ist vorliegend aber ohnehin nicht auszugehen. Zwar wird dem Beschwerdeführer im psychiatrischen Bericht vom 11. September 2017 eine posttraumatische Belastungsstörung und eine depressive Störung diagnostiziert. Dieser Bericht, der schon im ordentlichen Verfahren eingereicht worden war, war aber zum Zeitpunkt der Beschwerdeerhebung acht Monate und ist heute über zwei Jahre alt. Überdies besteht dieser Bericht vor allem aus einer Wiedergabe der Fluchtgeschichte des Beschwerdeführers sowie einer isolierten Diagnose, ohne dass auf die konkreten Beschwerden des Patienten näher eingegangen wurde. Die Formulierung im Bericht deutet zudem eher auf eine Traumatisierung auf dem Fluchtweg als bereits in Äthiopien hin. Es wurden bis heute keine weiteren aktuellen Berichte eingereicht und auch keine weiteren Behandlungsschritte geltend gemacht. Der Beschwerdeführer erhielt mit Zwischenverfügung vom 6. Dezember 2019 die Gelegenheit, sich aufgrund der veränderten Lage in Äthiopien zu möglichen zwingenden Gründen zu äussern. In seiner entsprechenden Eingabe vom 3. Januar 2020 nahm er jedoch lediglich auf die allgemeine Lage in Äthiopien Bezug. Es wurden keine Hinweise auf eine fortdauernde psychische Behandlung gemacht und auch keine entsprechenden Arztberichte eingereicht. Es ist deshalb nicht davon auszugehen, dass dem Beschwerdeführer die Rückkehr nach Äthiopien im Sinne einer Langzeittraumatisierung psychologisch unmöglich ist.</w:t>
      </w:r>
    </w:p>
    <w:p>
      <w:r>
        <w:rPr>
          <w:b/>
        </w:rPr>
        <w:t>E. 7.5</w:t>
      </w:r>
    </w:p>
    <w:p>
      <w:r>
        <w:t>Nach dem Gesagten hat das SEM vorliegend zu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SEM führte hierzu aus, der Beschwerdeführer sei ein junger und gesunder Mann und besitze eine schulische Berufsbildung in klinischer Pflege. Er sei in B._______ sozialisiert worden und besitze dort ein Beziehungsnetz (Eltern, Bruder, Onkel, Tante). Zur allfälligen psychiatrischen Behandlung der posttraumatischen Belastungsstörung und der depressiven Störung könne er sich in Äthiopien an eine geschulte Person wenden. Der Beschwerdeführer bestritt in seiner Rechtsmitteleingabe, dass ihm in Äthiopien medizinische Behandlungsmöglichkeiten zur Verfügung stehen würden. Dafür mangle es sowohl an den betreffenden Institutionen, als auch an den finanziellen Mitteln von ihm und seiner Familie, privat einen Therapeuten aufzusuchen.</w:t>
      </w:r>
    </w:p>
    <w:p>
      <w:r>
        <w:rPr>
          <w:b/>
        </w:rPr>
        <w:t>E. 9.4.2</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des BVGer D-6630/2018 E. 12.2, in Bestätigung von BVGE 2011/25 E. 8.3).</w:t>
      </w:r>
    </w:p>
    <w:p>
      <w:r>
        <w:rPr>
          <w:b/>
        </w:rPr>
        <w:t>E. 9.4.3</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E. 12.4, in Bestätigung von BVGE 2011/25 E. 8.4). Die individuellen Umstände lassen vorliegend nicht auf eine konkrete Gefährdung des Beschwerdeführers im Falle seiner Rückkehr schliessen. Der Beschwerdeführer ist jung und verfügt über eine Schulbildung sowie ein angefangenes Studium im Bereich der (...). Ebenfalls verfügt er in Äthiopien über ein Beziehungsnetz, auch wenn gemäss seinen Angaben sein Vater seit seiner Verhaftung verschwunden sei. Gemäss psychiatrischem Bericht leidet er an einer posttraumatischen Belastungsstörung und einer depressiven Störung. Der Bericht ist aber zwei Jahre alt, ohne dass seither weitere Behandlungsschritte geltend gemacht wurden. Überdies besteht dieser Bericht, wie erwähnt, vor allem aus einer isolierten Diagnose, ohne dass auf die konkreten Beschwerden des Patienten näher eingegangen würde. Es ist aber entgegen den Ansichten in der Beschwerde ohnehin davon auszugehen, dass das geltende gemachte Krankheitsbild in Äthiopien behandelbar wäre. Die gesundheitliche Versorgung in Äthiopien hat sich in den letzten Jahren verbessert und der Zugang zum Gesundheitssystem ist grundsätzlich gewährleistet (vgl. D-6630/2018 E. 12.3.4). Im Übrigen ist darauf hinzuweisen, dass aus gesundheitlichen Gründen nur dann auf Unzumutbarkeit des Wegweisungsvollzugs zu schliessen ist,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w:t>
      </w:r>
    </w:p>
    <w:p>
      <w:r>
        <w:rPr>
          <w:b/>
        </w:rPr>
        <w:t>E. 9.4.4</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 der Beschwerde wurde jedoch zu Recht ein Verfahrensmangel gerügt, dieser jedoch durch die Rechtsmittelinstanz geheilt (vgl. E. 3 vorstehend). Die Verfahrenskosten wären daher in Anwendung von Art. 6 Bst. b des Reglements vom 21. Februar 2008 über die Kosten und Entschädigungen vor dem Bundesverwaltungsgericht (VGKE, SR 173.320.2) zu ermässigen. Nachdem jedoch das mit Zwischenverfügung vom 4. Juli 2018 gestellte Gesuch um Gewährung der unentgeltlichen Rechtspflege gutgeheissen wurde, sind keine Kosten aufzuerlegen.</w:t>
      </w:r>
    </w:p>
    <w:p>
      <w:r>
        <w:rPr>
          <w:b/>
        </w:rPr>
        <w:t>E. 11.2</w:t>
      </w:r>
    </w:p>
    <w:p>
      <w:r>
        <w:t>Angesichts des soeben Gesagten ist dem Beschwerdeführer schliesslich trotz des Umstandes, wonach er im vorliegenden Beschwerdeverfahren mit seinen Rechtsbegehren letztlich nicht durchgedrungen ist, zu Lasten des SEM eine angemessene (reduzierte) Parteientschädigung für die ihm aus der Beschwerdeführung im Rahmen des festgestellten Verfahrensmangels erwachsenen notwendigen Kosten zuzusprechen. Die übrigen Kosten sind der mit Zwischenverfügung vom 4. Juli 2018 als amtliche Rechtsbeiständin eingesetzten Rechtsvertreterin als Honorar durch das Bundesverwaltungsgericht auszurichten. Diese ist unbesehen des Ausgangs des Verfahrens zu entschädigen.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Die Rechtsvertreterin des Beschwerdeführers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die von der Vorinstanz zu entrichtende Parteientschädigung auf insgesamt Fr. 100.- und das Honorar auf Fr. 900.- (beides inkl. allfälliger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