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D-3770/2023 vom 1. Juni 2023</w:t>
      </w:r>
    </w:p>
    <w:p>
      <w:r>
        <w:t>Bundesverwaltungsgericht, 2023-06-01, DE</w:t>
      </w:r>
    </w:p>
    <w:p>
      <w:r>
        <w:rPr>
          <w:b/>
        </w:rPr>
        <w:t xml:space="preserve">Quelle: </w:t>
      </w:r>
      <w:r>
        <w:t>https://mcp.opencaselaw.ch/entscheid/bvger_D-3770_2023_d20230601</w:t>
      </w:r>
    </w:p>
    <w:p>
      <w:r>
        <w:t>FR: TAF D-3770/2023 du 1 juin 2023</w:t>
      </w:r>
    </w:p>
    <w:p>
      <w:r>
        <w:t>IT: TAF D-3770/2023 del 1 giugno 2023</w:t>
      </w:r>
    </w:p>
    <w:p>
      <w:pPr>
        <w:pStyle w:val="Heading2"/>
      </w:pPr>
      <w:r>
        <w:t>Regeste</w:t>
      </w:r>
    </w:p>
    <w:p>
      <w:r>
        <w:t>Verweigerung vor&amp;uuml;bergehender Schutz | Verweigerung vorübergehender Schutz; Verfügung des SEM vom 1.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t>D-3770/2023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[vgl. BVGE 2023 VI/1 E. 3.8 f.], Art. 48 Abs. 1 und Art. 52 Abs. 1 VwVG).</w:t>
      </w:r>
    </w:p>
    <w:p>
      <w:r>
        <w:rPr>
          <w:b/>
        </w:rPr>
        <w:t>E. 1.4</w:t>
      </w:r>
    </w:p>
    <w:p>
      <w:r>
        <w:t>Auf die Beschwerde ist einzutreten.</w:t>
      </w:r>
    </w:p>
    <w:p>
      <w:r>
        <w:rPr>
          <w:b/>
        </w:rPr>
        <w:t>E. 2</w:t>
      </w:r>
    </w:p>
    <w:p>
      <w:r>
        <w:t>Die Kognition des Bundesverwaltungsgerichts und die zulässigen Rügen richten sich, soweit die Verweigerung des vorübergehenden Schutzes be- treffend, nach Art. 106 Abs. 1 AsylG (i.V.m. Art. 72 AsylG), im Bereich des Ausländerrechts nach Art. 49 VwVG (vgl. BVGE 2014/26 E. 5).</w:t>
      </w:r>
    </w:p>
    <w:p>
      <w:r>
        <w:rPr>
          <w:b/>
        </w:rPr>
        <w:t>E. 3.1</w:t>
      </w:r>
    </w:p>
    <w:p>
      <w:r>
        <w:t>Der Beschwerdeführer rügt eine mangelhafte Feststellung des Sach- verhalts und eine Verletzung des rechtlichen Gehörs. Diese Rüge gilt es vorab zu prüfen, da sie zu einer Rückweisung der Sache an die Vorinstanz führen könnte.</w:t>
      </w:r>
    </w:p>
    <w:p>
      <w:r>
        <w:rPr>
          <w:b/>
        </w:rPr>
        <w:t>E. 3.2</w:t>
      </w:r>
    </w:p>
    <w:p>
      <w:r>
        <w:t>Zur Begründung macht der Beschwerdeführer geltend, das Verhältnis zwischen ihm und seiner Ex-Frau sei nicht vertieft abgeklärt und damit sei der Sachverhalt nicht rechtsgenüglich erstellt worden. Auch vertiefte Abklä- rungen, ob es der Familie tatsächlich möglich wäre, ihre Familiengemein- schaft in der Türkei zu leben, würden gänzlich fehlen. In der angefochtenen Verfügung sei zudem nicht begründet worden, warum es sich bei der ge- lebten Familiengemeinschaft nicht um ein Konkubinat im Sinne von lit. a der Allgemeinverfügung vom 11. März 2022 handle oder warum es sich beim Vater des Kindes nicht um einen engen Familienangehörigen handle. Damit sei die Begründungspflicht verletzt. Weiter werde bei der Prüfung des Wegweisungsvollzugs als einziges Argument die Nichtanwendbarkeit von Art. 8 EMRK erwähnt und unter Punkt II der angefochtenen Verfügung festgestellt, dass gestützt auf Art. 44 AsylG keine vorläufige Aufnahme ge- währt werden könne, während der Vollzug der Wegweisung erst im folgen- den Punkt III geprüft und festgestellt werde, dass der Beschwerdeführer die Flüchtlingseigenschaft nicht erfülle. Dadurch entstehe der Eindruck, dass das vorliegende Verfahren nicht mit dem erforderlichen Mass an Sorgfalt geführt worden sei. Aufgrund der mangelhaften Eröffnung durch</w:t>
      </w:r>
    </w:p>
    <w:p>
      <w:r>
        <w:t>D-3770/2023 Seite 6 das SEM sei es zudem zu einer erheblich verkürzten Beschwerdefrist und verspäteten Akteneinsicht gekommen.</w:t>
      </w:r>
    </w:p>
    <w:p>
      <w:r>
        <w:rPr>
          <w:b/>
        </w:rPr>
        <w:t>E. 3.3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 sentlichen Sachumstände berücksichtigt hat (vgl. BENJAMIN SCHINDLER, in: Auer/Müller/Schindler [Hrsg.], Kommentar zum Bundesgesetz über das Verwaltungsverfahren [VwVG], 2. Aufl. 2019, Art. 49 N. 29).</w:t>
      </w:r>
    </w:p>
    <w:p>
      <w:r>
        <w:rPr>
          <w:b/>
        </w:rPr>
        <w:t>E. 3.4</w:t>
      </w:r>
    </w:p>
    <w:p>
      <w:r>
        <w:t>Mit dem Beschwerdeführer ist einig zu gehen, dass der angefochtenen Verfügung einige Hinweise auf mangelnde Sorgfalt zu entnehmen sind. So vermischte das SEM die Erwägungen zum Schutzstatus und zum Wegwei- sungsvollzug und sprach von der Nichterfüllung der Flüchtlingseigenschaft, wobei es sich wohl um ein redaktionelles Versehen handelte. Diese Mängel ändern jedoch nichts daran, dass die Vorinstanz zu allen wesentlichen Be- langen Ausführungen machte und es dem Beschwerdeführer denn auch möglich war, sich in seiner Beschwerde inhaltlich gegen die einzelnen Argumente zur Wehr zu setzen. Damit ist nicht von einer schwerwiegenden Verletzung und angesichts des Schriftenwechsels von der Heilung auf Be- schwerdeebene auszugehen.</w:t>
      </w:r>
    </w:p>
    <w:p>
      <w:r>
        <w:t>Weiter kam es bei der Eröffnung zu Fehlern, was gemäss Rüge des Be- schwerdeführers zu einer verkürzten Beschwerdefrist geführt habe. Auch dies vermag eine Kassation jedoch nicht zu rechtfertigen, zumal der Be- schwerdeführer innert Frist ordnungsgemäss Beschwerde erheben konnte und allfällige Nachteile mit der Durchführung des Schriftenwechsels geheilt</w:t>
      </w:r>
    </w:p>
    <w:p>
      <w:r>
        <w:t>D-3770/2023 Seite 7 werden konnten. Schliesslich ist festzustellen, dass das SEM auch seiner Aktenführungspflicht nicht ordnungsgemäss nachgekommen ist, zumal die Akten nicht in chronologischer Reihenfolge abgelegt sind. Dem Beschwer- deführer ist dadurch aber kein wesentlicher Rechtsnachteil entstanden.</w:t>
      </w:r>
    </w:p>
    <w:p>
      <w:r>
        <w:t>Somit ist aufgrund der unsorgfältigen Verfahrensführung nicht von einer schwerwiegenden Verletzung des rechtlichen Gehörs auszugehen, die auf Beschwerdeebene geheilt werden konnte. Entgegen den Ausführungen in der Beschwerde hat das SEM sodann die Begründungspflicht nicht ver- letzt, indem es in seiner Verfügung und Vernehmlassung genügend darge- legt hat, weshalb es von einer Schutzgewährung absah. Das SEM war schliesslich nicht gehalten, aufgrund der Äusserungen des Beschwerde- führers an der Befragung zum Verhältnis zu seiner Ex-Frau weitere Abklä- rungen vorzunehmen. Der Beschwerdeführer hätte diesbezüglich von sich aus weitere Informationen liefern müssen. Dass der Beschwerdeführer in den genannten Punkten eine andere Meinung als die Vorinstanz vertritt, vermag nicht zu einer Verletzung des rechtlichen Gehörs oder mangelhaf- ten Sachverhaltsfeststellung zu führen und ist nachfolgend bei den materi- ellen Erwägungen zu prüfen.</w:t>
      </w:r>
    </w:p>
    <w:p>
      <w:r>
        <w:rPr>
          <w:b/>
        </w:rPr>
        <w:t>E. 3.5</w:t>
      </w:r>
    </w:p>
    <w:p>
      <w:r>
        <w:t>Nach dem Gesagten kann die Verletzung des Anspruchs des Be- schwerdeführers auf rechtliches Gehör als auf Beschwerdeebene geheilt erachtet werden, zumal das Bundesverwaltungsgericht diesbezüglich über die volle Kognition verfügt und der rechtserhebliche Sachverhalt erstellt und somit die notwendige Entscheidreife gegeben ist (vgl. BVGE 2008/47 E. 3.3.4 m. w. H.). Der Antrag um Rückweisung der Sache an die Vor- instanz ist somit abzuweisen.</w:t>
      </w:r>
    </w:p>
    <w:p>
      <w:r>
        <w:rPr>
          <w:b/>
        </w:rPr>
        <w:t>E. 4.1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w:t>
      </w:r>
    </w:p>
    <w:p>
      <w:r>
        <w:t>D-3770/2023 Seite 8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im Wesentlichen aus, der Beschwerdeführer gehöre nicht zu der vom Bun- desrat definierten Gruppe der schutzberechtigten Personen, weil er türki- scher Staatsbürger und damit nicht auf den Schutz der Schweiz vor dem Krieg in der Ukraine angewiesen sei. Er könne, wie nachfolgend ausge- führt, in Sicherheit und dauerhaft in sein Heimatland zurückkehren. Über- dies sei er auch nicht zur Inanspruchnahme des Schutzes der Schweiz als enger Familienangehöriger eines ukrainischen Staatsbürgers berechtigt. Weder aus seiner geschiedenen Ehe zu einer Ukrainerin noch aus seiner Vaterschaft zum gemeinsamen ukrainischen Kind lasse sich für ihn ein Schutzanspruch ableiten. Ein Einbezug in den Status seiner Ex-Ehefrau (keine schützenswerte Familiengemeinschaft) oder in jenen seines ge- meinsamen Kindes könne nicht erfolgen. Auf Art. 8 EMRK (Schutz des Fa- milienlebens) könne er sich schon deshalb nicht berufen, weil dieser ein gefestigtes Anwesenheitsrecht seines Kindes in der Schweiz voraussetze. Der S-Status sei jedoch nur vorübergehend und stelle kein gefestigtes An- wesenheitsrecht dar. Ebenso wenig sei ihm gestützt auf Art. 44 AsylG eine vorläufige Aufnahme in der Schweiz zu gewähren, weil die Familienge- meinschaft mit seinem Kind in der Türkei gelebt oder durch regelmässige Besuche seinerseits in der Schweiz oder in einem Drittstaat sichergestellt werden könne. Weder die in seinem Heimatstaat herrschende politische Situation noch andere Gründe würden gegen die Zumutbarkeit der Rück-</w:t>
      </w:r>
    </w:p>
    <w:p>
      <w:r>
        <w:t>D-3770/2023 Seite 9 führung in den Heimatstaat sprechen. Wie er zu Protokoll gegeben habe, habe er niemals Probleme mit den türkischen Behörden gehabt. Er sei aus- serdem zu keinem Zeitpunkt politisch oder religiös aktiv gewesen. Den Grossteil seines Lebens habe er in der Türkei verbracht, sei dort aufge- wachsen und kenne die Traditionen und Gepflogenheiten des Landes. Durch sein abgeschlossenes Hochschulstudium und seine breite Berufs- und Branchenerfahrung sei davon auszugehen, dass er sich beruflich rasch wieder in seinem Heimatland integrieren und eine Arbeit finden könne. Gemäss seinen Angaben würden all seine Familienangehörigen, die grösstenteils einer geregelten Arbeit nachgehen würden, noch im Hei- matland leben und er stehe beinahe täglich in Kontakt mit ihnen. Demnach sei davon auszugehen, dass er in ein intaktes familiäres und soziales Um- feld zurückkomme, auf das er und allenfalls sein Sohn sich notfalls stützen könnten.</w:t>
      </w:r>
    </w:p>
    <w:p>
      <w:r>
        <w:rPr>
          <w:b/>
        </w:rPr>
        <w:t>E. 5.2</w:t>
      </w:r>
    </w:p>
    <w:p>
      <w:r>
        <w:t>In der Beschwerdeschrift macht der Beschwerdeführer namentlich gel- tend, er und seine Partnerin hätten im April 2015 geheiratet und seither in der Ukraine eine gemeinsame Wohnung geteilt. Im Jahr 2019 sei seine Ex- Frau aufgrund von Eheproblemen für sechs Monate zu ihrer Mutter gezo- gen und sie hätten die Scheidung eingeleitet, die von einem ukrainischen Gericht in ihrer Abwesenheit vollzogen worden sei. Bereits im März 2020 sei seine Ex-Frau aber wieder zurück in die gemeinsame Wohnung gezo- gen. Seither hätten sie zusammengelebt, sich gemeinsam um ihr Kind ge- kümmert und ihre Beziehung wiederaufgenommen. An der Anhörung habe er zwar angegeben, dass sie geschieden seien, das erneute Zusammen- leben aber angedeutet. Entsprechende Nachfragen über den Beziehungs- status seien nicht gestellt worden. Er sei sich der Wichtigkeit, die noch im- mer gelebte Beziehung zu seiner Ex-Ehefrau darzulegen, nicht bewusst gewesen. Zudem sei seine Ex-Frau zu diesem Zeitpunkt noch in der Ukra- ine und er mit seinen Gedanken auf sein Kind fokussiert gewesen. Auch nach der Flucht seiner Ex-Frau in die Schweiz sei die Familie gemeinsam in eine kleine Wohnung gezogen, wo sie seit August 2022 leben würden. Auch wirtschaftlich seien sie verflochten, so werde beispielsweise die So- zialhilfe, die er erhalte, auf das Konto seiner Ex-Frau überwiesen. Zudem würden zahlreiche Fotos, die über die letzten Jahre entstanden seien, die gelebte Familiengemeinschaft und die Nähe zwischen ihnen belegen. Trotz der Scheidung gehe somit aus dem gemeinsamen Lebensmittelpunkt, der gegenseitigen Fürsorge, der gemeinsamen Betreuung des Kindes und der wirtschaftlichen Verflochtenheit hervor, dass es sich um eine schützens- werte gemeinsame Lebensgemeinschaft ausschliesslicher Art handle. Dar- über hinaus sei der mittlerweile bald achtjährige Sohn Zeit seines Lebens</w:t>
      </w:r>
    </w:p>
    <w:p>
      <w:r>
        <w:t>D-3770/2023 Seite 10 nie von seinem Vater getrennt gewesen. Auch wenn der Wortlaut der All- gemeinverfügung vom 11. März 2022 dies nicht exakt so wiedergebe, sei nicht ersichtlich, weshalb der Vater eines Kindes nicht auch als «enger Ver- wandter» gelten solle. Weiter könne in Bezug auf den Wegweisungsvollzug nicht ohne Weiteres davon ausgegangen werden, dass der Sohn mit bei- den Elternteilen in der Türkei leben könnte, da die Mutter über keine Auf- enthaltsbewilligung in der Türkei verfüge und auch nicht mit dem Be- schwerdeführer verheiratet sei. Beim Vollzug der Wegweisung werde das Kind entweder von seiner Mutter oder von seinem Vater getrennt. Auch wenn Besuche aus der und in die Türkei theoretisch denkbar wären, sei offensichtlich, dass aufgrund des logistischen, finanziellen und administra- tiven Aufwandes kaum regelmässige Besuche in kindsgerechtem Abstand möglich sein dürften. Eine Trennung von einem Elternteil bedeute eine er- hebliche Gefährdung des Kindswohls. Zur Stützung seiner Vorbringen reichte der Beschwerdeführer einen Unter- mietvertrag, Familienfotos und eine Bestätigung der Sozialen Dienste über die Auszahlung der Sozialhilfe zu den Akten.</w:t>
      </w:r>
    </w:p>
    <w:p>
      <w:r>
        <w:rPr>
          <w:b/>
        </w:rPr>
        <w:t>E. 5.3</w:t>
      </w:r>
    </w:p>
    <w:p>
      <w:r>
        <w:t>Das SEM hielt in seiner Vernehmlassung fest, die im Nachgang der eigentlichen Befragung vorgebrachte Parteibehauptung des Beschwerde- führers, dass dessen geschiedene Ex-Frau im März 2020 wieder bei ihm eingezogen sei, erscheine unglaubhaft. So gehe aus der Aufenthaltsbewil- ligung des Beschwerdeführers eine andere Meldeadresse hervor als die ihm später nachfolgende geschiedene Expartnerin in ihren Eintrittsunterla- gen angegeben habe. Vertiefte Nachfragen betreffend den Beziehungs- und Wohnstatus des Beschwerdeführers und seiner geschiedenen Ex- Partnerin würden sich daher erübrigen, zumal dessen Ex-Ehefrau anfäng- lich in der Ukraine zurückgeblieben sei und dieser so über mehrere Monate hinweg alleine mit dem gemeinsamen Sohn in der Schweiz gewesen sei. Analog gefestigter Rechtsprechung zu Art. 51 AsyIG, wonach der soge- nannte umgekehrte Einbezug nicht möglich sei (vgl. Urteil des BVGer E-1201/2019 vom 20. Mai 2020, E. 2.1-2.3), treffe dies auch auf Art. 71 AsyIG zu. Auch am Wegweisungsentscheid vermöge die nachträgliche Einreise und Gesuchstellung der Ex-Frau nichts zu ändern. Wohlgemerkt sei sie erst zu einem Zeitpunkt in die Schweiz nachgefolgt, als dem Be- schwerdeführer bereits klar gewesen sei, dass seine Vaterschaft zu einem minderjährigen ukrainischen Staatsbürger nicht ausreichen würde, um als Familiennachzügler in dessen Gesuch miteinbezogen zu werden. Selbst bei Wahrunterstellung eines momentan tatsächlich geführten Familienle- bens in der Schweiz sei zudem angemerkt, dass die beiden erst vor</w:t>
      </w:r>
    </w:p>
    <w:p>
      <w:r>
        <w:t>D-3770/2023 Seite 11 weniger als einem Jahr in der Schweiz zusammenzogen seien, sodass die vom Beschwerdeführer argumentierte Anforderung eines zweijährigen ge- meinsamen Lebensmittelpunktes auch durch deren Familienwiedervereini- gung in der Schweiz nicht hinreichend erfüllt sei.</w:t>
      </w:r>
    </w:p>
    <w:p>
      <w:r>
        <w:rPr>
          <w:b/>
        </w:rPr>
        <w:t>E. 5.4</w:t>
      </w:r>
    </w:p>
    <w:p>
      <w:r>
        <w:t>Dem wurde in der Replik entgegengehalten, dass für das ukrainische Melderegister nicht die Massstäbe der Schweizerischen Behörden ange- setzt werden könnten. So würden beispielsweise auch die Schwiegereltern seit mehreren Jahren nicht mehr an der Adresse leben, an der sie gemeldet seien. Entsprechend vermöge einzig der Eintrag in einem Melderegister das gelebte Konkubinat kaum in Zweifel ziehen, zumal dieses unter ande- rem durch zahlreiche Bilder belegt worden sei. Zum Zeitpunkt der Befra- gung des Beschwerdeführers habe diese Information zudem noch nicht vorgelegen, sodass diese fehlende Frage zum Beziehungs- und Wohnsta- tus nichts erkläre und nachgeschoben wirke. Nach der Ankunft der Ex-Frau in der Schweiz im August 2022, mithin vor mehr als zwei Jahren, sei er überdies direkt in eine gemeinsame Wohnung mit ihr gezogen, wo sie seit- her gemeinsam als Familie leben würden. Ihre Heiratspläne hätten sie auf- schieben müssen, da die Ex-Frau im August dieses Jahres eine Krebsdi- agnose erhalten habe. In Bezug auf die Vaterschaft des Beschwerdeführers von einem ukraini- schen Kind sei festzuhalten, dass das Bundesverwaltungsgericht im Urteil D-3363/2022 vom 21. Oktober 2022, E. 5.2 erwogen habe, dass die ukrai- nische Staatsbürgerschaft der Kinder einen Einfluss auf die ganze Familie habe. Auch im Urteil D-2283/2022 vom 30. Mai 2022, E. 7.2 werde festge- stellt, dass bei Eltern mit unterschiedlicher Staatsangehörigkeit nicht ohne Weiteres davon ausgegangen werden könne, dass die ganze Familie auch im Land des nicht-ukrainischen Elternteils Schutz erhalten könne. Zur Stützung der Replik wurden weitere Fotos des Familienlebens aus dem letzten Jahr und ein onkologischer Bericht zu den Akten gereicht.</w:t>
      </w:r>
    </w:p>
    <w:p>
      <w:r>
        <w:rPr>
          <w:b/>
        </w:rPr>
        <w:t>E. 6.1</w:t>
      </w:r>
    </w:p>
    <w:p>
      <w:r>
        <w:t>Nach Durchsicht der Akten schliesst sich das Bundesverwaltungs- gericht der Argumentation in der angefochtenen Verfügung an, welcher der Beschwerdeführer letztlich nichts Entscheidendes entgegenzuhalten vermag.</w:t>
      </w:r>
    </w:p>
    <w:p>
      <w:r>
        <w:rPr>
          <w:b/>
        </w:rPr>
        <w:t>E. 6.2</w:t>
      </w:r>
    </w:p>
    <w:p>
      <w:r>
        <w:t>Eine Schutzgewährung gemäss Ziff. I Bst. c der Allgemeinverfügung vom 11. März 2022 schloss die Vorinstanz zu Recht aus, zumal der Be- schwerdeführer in Sicherheit und dauerhaft in die Türkei zurückkehren</w:t>
      </w:r>
    </w:p>
    <w:p>
      <w:r>
        <w:t>D-3770/2023 Seite 12 kann. Dies wird vorliegend vom Beschwerdeführer auch gar nicht bestrit- ten. Vielmehr macht der Beschwerdeführer geltend, er könne aus der Be- ziehung zu seiner Frau und seinem Kind mit ukrainischer Staatsbürger- schaft den Schutzstatus im Sinne von Bst. a der Allgemeinverfügung ablei- ten.</w:t>
      </w:r>
    </w:p>
    <w:p>
      <w:r>
        <w:rPr>
          <w:b/>
        </w:rPr>
        <w:t>E. 6.3</w:t>
      </w:r>
    </w:p>
    <w:p>
      <w:r>
        <w:t>Dieser Schlussfolgerung dürfte bereits deshalb nicht ohne weiteres ge- folgt werden, als diesfalls vorab zu prüfen gewesen wäre, ob der subsidiäre Schutz durch die Türkei auch einer Schutzgewährung für die Ex-Frau und den Sohn entgegenstehen würde. Eine entsprechende Prüfung wurde vor- liegend jedoch zu Recht nicht vorgenommen, da aufgrund der nachfolgen- den Erwägungen nicht von einer bestehenden eheähnlichen Beziehung auszugehen ist.</w:t>
      </w:r>
    </w:p>
    <w:p>
      <w:r>
        <w:rPr>
          <w:b/>
        </w:rPr>
        <w:t>E. 6.4</w:t>
      </w:r>
    </w:p>
    <w:p>
      <w:r>
        <w:t>Als eheähnliche Beziehung im engeren Sinne gilt praxisgemäss eine auf längere Zeit, wenn nicht auf Dauer angelegte umfassende Lebensge- meinschaft von zwei Personen mit grundsätzlich Ausschliesslichkeitscha- rakter, die sowohl eine geistig-seelische, als auch eine körperliche und eine wirtschaftliche Komponente aufweist und auch etwa als Wohn-, Tisch- und Bettgemeinschaft bezeichnet wird (BGE 109 II 16 E. 1b mit Hinweisen und BGE 108 II 205 E. 2; HAUSHEER, Die privatrechtliche Rechtsprechung des Bundesgerichts im Jahre 1978, ZBJV 116/1980, S. 99 mit Hinweisen; LAURA AEBERLI, in: Peter Uebersax et al. [Hrsg.] Handbuch Ausländerrecht, 3. Auflage 2022, Rz 24.46). Indessen kommt nicht allen drei Komponenten dieselbe Bedeutung zu. Fehlt die Geschlechtsgemeinschaft oder die wirt- schaftliche Komponente, leben die beiden Partner aber trotzdem in einer festen Zweierbeziehung, halten sich gegenseitig die Treue und leisten sich umfassenden Beistand, so ist eine eheähnliche Gemeinschaft zu bejahen. Das Gericht hat in jedem Fall eine Würdigung sämtlicher massgeblicher Faktoren vorzunehmen. Die gesamten Umstände des Zusammenlebens sind von Bedeutung, um die Qualität einer Lebensgemeinschaft beurteilen zu können (vgl. BGE 118 II 235 E. 3 m.w.H.).</w:t>
      </w:r>
    </w:p>
    <w:p>
      <w:r>
        <w:rPr>
          <w:b/>
        </w:rPr>
        <w:t>E. 6.5</w:t>
      </w:r>
    </w:p>
    <w:p>
      <w:r>
        <w:t>Das SEM hat in seiner Verfügung richtigerweise darauf geschlossen, dass zwischen dem Beschwerdeführer und seiner Ex-Frau keine Familien- beziehung im oben erwähnten Sinne vorliegt. Der Beschwerdeführer hat an der Befragung angegeben, dass sie offiziell geschieden seien. Dass die Scheidung keine Bedeutung gehabt habe und die eheliche Beziehung wie- der aufgenommen worden sei, wurde dabei an keiner Stelle geltend ge- macht. Es wäre diesfalls anzunehmen, dass die Scheidung gar nicht er- wähnt oder diese zumindest entsprechend relativiert worden wäre. Es</w:t>
      </w:r>
    </w:p>
    <w:p>
      <w:r>
        <w:t>D-3770/2023 Seite 13 entsteht aber vielmehr der Eindruck, die beiden Eltern hätte sich darauf verständigt, trotz der Trennung, um des Sohnes willen und aus praktischen Gründen im Sinne einer Wohngemeinschaft im gleichen Haushalt zu ver- bleiben. Bezeichnenderweise ist die Ex-Frau denn auch nicht mit dem Be- schwerdeführer und ihrem Sohn in die Schweiz gereist, sondern zunächst in der Ukraine geblieben. Dabei ist zu berücksichtigen, dass aufgrund der Aktenlage nicht von einer kriegsbedingten unfreiwilligen Trennung gespro- chen werden kann; vielmehr ist die Beschwerdeführerin offenbar in der Ukraine geblieben, weil sie als Filialleiterin eines Lebensmittelladens nicht habe ausreisen wollen. Damit war die Gemeinschaft nicht auf Dauer, son- dern nur für die Zeit der Betreuung des Sohnes ausgelegt und es mangelt auch an der Ausschliesslichkeit und der geistig-seelischen, körperlichen und wirtschaftlichen Verbindung. Die aus der Ukraine eingereichten Foto- grafien vermögen das Konkubinat ebenfalls nicht zu belegen. Diese kön- nen auch eigens für die Beschwerde hergestellt worden sein, zumal auch der Zeitpunkt der Aufnahmen unklar ist. Zudem handelt es sich nur um we- nige, über Jahre verteilte Fotografien, die eine Familienbeziehung im oben erwähnten Sinne nicht zu beweisen vermögen. Dass der Beschwerdefüh- rer und seine Ex-Frau ihre Beziehung wiederaufgenommen hätten, wird denn auch erstmals in der Beschwerde behauptet. Das SEM hat die in der Beschwerde erstmalig geltend gemachte Weiterführung der Beziehung deshalb zu Recht als nachgeschoben und unglaubhaft gewertet. Würden der Beschwerdeführer und seine Ex-Frau Heiratspläne hegen, hätten sie längst Gelegenheit gehabt, diese umzusetzen. Die weiteren Umstände der Beziehung und die eingereichten Fotografien vom Familienleben in der Schweiz stellen ebenfalls keine genügend überzeugenden Indizien für die Annahme eines Konkubinats im Sinne der obgenannten Kriterien dar. Ins- gesamt ist vielmehr davon auszugehen, dass die Eltern alles daransetzen, dem Beschwerdeführer zugunsten des Sohnes den Verbleib in der Schweiz zu ermöglichen. Aus diesem Umstand kann jedoch der Bestand einer eheähnlichen Beziehung nicht abgeleitet werden. Entgegen den Aus- führungen in der Beschwerde ist ferner aufgrund der Auszahlung der Sozi- alhilfe auf ein Konto auch nicht von einer wesentlichen wirtschaftlichen Ver- flechtung auszugehen. Nach dem Gesagten ist die Beziehung zwischen dem Beschwerdeführer und seiner Ex-Frau in ihrer Substanz nicht als ehe- ähnlich zu qualifizieren.</w:t>
      </w:r>
    </w:p>
    <w:p>
      <w:r>
        <w:rPr>
          <w:b/>
        </w:rPr>
        <w:t>E. 6.6</w:t>
      </w:r>
    </w:p>
    <w:p>
      <w:r>
        <w:t>Weiter kann der Beschwerdeführer auch aus dem Umstand, dass sein Sohn über einen Schutzstatus S verfügt, keinen eigenen Anspruch auf Ge- währung vorübergehenden Schutzes ableiten. Die vorliegende Konstella- tion – eine Ableitung eines Schutzanspruchs des Vaters eines</w:t>
      </w:r>
    </w:p>
    <w:p>
      <w:r>
        <w:t>D-3770/2023 Seite 14 minderjährigen Schutzberechtigten (sog. umgekehrter Familiennachzug) – wird von Ziff. I Bst. a der Allgemeinverfügung nicht erfasst. Als Familienan- gehörige werden ausdrücklich nur Partnerinnen und Partner sowie minder- jährige Kinder von ukrainischen Staatsbürgerinnen und Staatsbürgern ge- nannt (Art. 71 Abs. 1 sowie auch Art. 51 Abs. 1 AsylG; vgl. Urteil des BVGer D-2299/2023 vom 5. September 2023 E. 5.2, D-4049/2022 vom 12. Okto- ber 2022 E. 7.1). Darüber hinaus können gemäss Bst. a der Allgemeinver- fügung andere enge Verwandte, die zum Zeitpunkt der Flucht ganz oder teilweise unterstützt wurden, in den Schutz einbezogen werden, was vor- liegend nicht der Fall ist. An dieser Einschätzung vermögen die in der Replik zitieren Urteile D-3363/2022 und D-2283/2022 nichts zu ändern, zumal diese keine inhalt- lichen Erwägungen zur Klärung der vorliegend strittigen Frage enthalten, sondern es sich um Kassationen kurz nach Kriegsbeginn handelt, weil sich das SEM nicht ausreichend mit der Familienkonstellation auseinanderge- setzt hatte.</w:t>
      </w:r>
    </w:p>
    <w:p>
      <w:r>
        <w:rPr>
          <w:b/>
        </w:rPr>
        <w:t>E. 6.7</w:t>
      </w:r>
    </w:p>
    <w:p>
      <w:r>
        <w:t>Das SEM hat damit das Gesuch um Gewährung des vorübergehenden Schutzes zu Recht abgelehnt.</w:t>
      </w:r>
    </w:p>
    <w:p>
      <w:r>
        <w:rPr>
          <w:b/>
        </w:rPr>
        <w:t>E. 7.1</w:t>
      </w:r>
    </w:p>
    <w:p>
      <w:r>
        <w:t>Lehnt das SEM ein Gesuch um Gewährung des vorübergehenden Schutzes ab, verfügt es in der Regel die Wegweisung aus der Schweiz und ordnet den Vollzug an (vgl. Art. 69 Abs. 4 AsylG).</w:t>
      </w:r>
    </w:p>
    <w:p>
      <w:r>
        <w:rPr>
          <w:b/>
        </w:rPr>
        <w:t>E. 7.2</w:t>
      </w:r>
    </w:p>
    <w:p>
      <w:r>
        <w:t>Der Beschwerdeführer verfügt insbesondere weder über eine auslän- derrechtliche Aufenthaltsbewilligung noch über einen Anspruch auf Ertei- lung einer solchen (vgl. dazu auch E. 8.2). Die Wegweisung wurde dem- nach vom SEM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w:t>
      </w:r>
    </w:p>
    <w:p>
      <w:r>
        <w:t>D-3770/2023 Seite 15 wenn der strikte Beweis möglich ist, und andernfalls wenigstens glaubhaft zu machen (vgl. BVGE 2011/24 E. 10.2 m.w.H.).</w:t>
      </w:r>
    </w:p>
    <w:p>
      <w:r>
        <w:rPr>
          <w:b/>
        </w:rPr>
        <w:t>E. 8.2</w:t>
      </w:r>
    </w:p>
    <w:p>
      <w:r>
        <w:t>Das SEM hat zunächst zu Recht festgehalten, dass der Beschwerde- führer aus dem Recht auf Familienleben mit seinem Sohn (Art. 8 EMRK) keinen Anspruch auf Erteilung einer Aufenthaltsbewilligung abzuleiten ver- mag. Grundsätzlich setzt die Berufung auf diese Bestimmungen voraus, dass die ausländische Person nahe Verwandte mit einem gefestigten An- wesenheitsrecht (Schweizer Bürgerrecht, Niederlassungsbewilligung oder Aufenthaltsbewilligung, auf deren Verlängerung ein Anspruch besteht) in der Schweiz hat (vgl. BGE 144 II 1). Zwar kann ausnahmsweise von einem gefestigten Aufenthaltsrecht abgesehen werden, wenn dies die Umstände rechtfertigen, insbesondere wenn der Aufenthalt faktisch als Realität zu er- achten ist (vgl. BVGE 2021 VI/1 E. 13.4). Dies rechtfertigt sich vorliegend jedoch bereits deshalb nicht, weil der vorübergehende Schutz gerade nicht auf Dauer ausgelegt ist. Vielmehr ist davon auszugehen, dass der Sohn zusammen mit der Mutter in die Ukraine zurückkehren wird, sobald dies die dortige Situation und Sicherheitslage erlauben. Für diese Einschätzung spricht auch, dass die Ex-Ehefrau wegen ihrer Arbeitsstelle erst sehr spät aus der Ukraine ausgereist ist. Hinzu kommt, dass es dem Beschwerde- führer auch unbenommen bleibt, das Familienleben über die Distanz wei- terzuführen oder gar den Sohn in die Türkei nachzuziehen. Dass ein Ver- bleib in der Türkei mit nur einem Elternteil das Kindswohl verletzen würde, vermag dabei nicht zu überzeugen, zumal der Sohn des Beschwerdefüh- rers sich dort mit dem Vater aufhalten kann, mit dem er davor immer zu- sammengelebt hat und mit dem er auch in die Schweiz kam, während die Mutter zunächst aus beruflichen Gründen in der Ukraine blieb.</w:t>
      </w:r>
    </w:p>
    <w:p>
      <w:r>
        <w:rPr>
          <w:b/>
        </w:rPr>
        <w:t>E. 8.3.1</w:t>
      </w:r>
    </w:p>
    <w:p>
      <w:r>
        <w:t>Der Vollzug ist sodann nicht zulässig, wenn völkerrechtliche Ver- pflichtungen der Schweiz einer Weiterreise der Ausländerin oder des Aus- 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D-3770/2023 Seite 16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8.3.3</w:t>
      </w:r>
    </w:p>
    <w:p>
      <w:r>
        <w:t>Der Beschwerdeführer hat in der Schweiz kein Asylgesuch gestellt. Den Akten sind demnach keine Hinweise auf eine Verletzung des flücht- lingsrechtlichen Refoulement-Verbots zu entnehmen.</w:t>
      </w:r>
    </w:p>
    <w:p>
      <w:r>
        <w:rPr>
          <w:b/>
        </w:rPr>
        <w:t>E. 8.3.4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w:t>
      </w:r>
    </w:p>
    <w:p>
      <w:r>
        <w:rPr>
          <w:b/>
        </w:rPr>
        <w:t>E. 8.3.5</w:t>
      </w:r>
    </w:p>
    <w:p>
      <w:r>
        <w:t>Auch die allgemeine Menschenrechtssituation im Heimatstaat lässt den Wegweisungsvollzug zum heutigen Zeitpunkt nicht als unzulässig er- scheinen.</w:t>
      </w:r>
    </w:p>
    <w:p>
      <w:r>
        <w:rPr>
          <w:b/>
        </w:rPr>
        <w:t>E. 8.3.6</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8.4.2</w:t>
      </w:r>
    </w:p>
    <w:p>
      <w:r>
        <w:t>In der Türkei herrscht keine Situation allgemeiner Gewalt. Das SEM hat in seiner Verfügung richtig geschlossen, dass auch keine individuellen Gründe gegen eine Rückkehr in die Türkei sprechen, da der Beschwerde- führer den Grossteil seines Lebens dort verbracht habe und über ein ab- geschlossenes Hochschulstudium und breite Berufserfahrung sowie ein</w:t>
      </w:r>
    </w:p>
    <w:p>
      <w:r>
        <w:t>D-3770/2023 Seite 17 intaktes familiäres und soziales Umfeld verfüge. Dem wird in der Be- schwerde nichts Wesentliches entgegengehalten. Soweit sich der Be- schwerdeführer auf das Kindeswohl beruft, hat das SEM zu Recht auf Be- suchsmöglichkeiten verwiesen.</w:t>
      </w:r>
    </w:p>
    <w:p>
      <w:r>
        <w:rPr>
          <w:b/>
        </w:rPr>
        <w:t>E. 8.4.3</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72 i.V.m.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10.1</w:t>
      </w:r>
    </w:p>
    <w:p>
      <w:r>
        <w:t>Bei diesem Ausgang des Verfahrens wären die Kosten dem Beschwerdeführer aufzuerlegen (Art. 63 Abs. 1 VwVG). Nachdem jedoch das Gesuch um Gewährung der unentgeltlichen Prozessführung mit Zwi- schenverfügung vom 10. Juli 2023 gutgeheissen wurde, ist von einer Kos- tenauflage abzusehen.</w:t>
      </w:r>
    </w:p>
    <w:p>
      <w:r>
        <w:rPr>
          <w:b/>
        </w:rPr>
        <w:t>E. 10.2</w:t>
      </w:r>
    </w:p>
    <w:p>
      <w:r>
        <w:t>Mit derselben Verfügung wurde das Gesuch um amtliche Verbeistän- dung gutgeheissen und dem Beschwerdeführer der rubrizierte Rechtsver- treter beigeordnet. Ihm ist ein amtliches Honorar für die notwendigen Auf- wendungen im Beschwerdeverfahren auszurichten. Mit der Replik wurde eine Kostennote zu den Akten gereicht. Der darin ausgewiesene zeitliche Aufwand des Rechtsvertreters von 10.75 Stunden scheint angemessen. Davon sind eine Stunde für die im Folgenden zuzusprechende Parteient- schädigung abzuziehen (vgl. E. 10.3). Die Dolmetscherkosten von Fr. 48.19 sind mit den Auslagen zu vergüten. Gestützt auf die in Betracht zu ziehenden Bemessungsfaktoren (Art. 9-13 VGKE) und den</w:t>
      </w:r>
    </w:p>
    <w:p>
      <w:r>
        <w:t>D-3770/2023 Seite 18 kommunizierten Stundenansatz von maximal Fr. 150.– ist das amtliche Ho- norar demnach auf Fr. 1'575.– festzusetzen (inklusive Auslagen).</w:t>
      </w:r>
    </w:p>
    <w:p>
      <w:r>
        <w:rPr>
          <w:b/>
        </w:rPr>
        <w:t>E. 10.3</w:t>
      </w:r>
    </w:p>
    <w:p>
      <w:r>
        <w:t>Aufgrund der festgestellten Verletzung des rechtlichen Gehörs wurde in der Beschwerde zu Recht ein Verfahrensmangel gerügt, dieser wurde jedoch auf Beschwerdeebene geheilt (vgl. E. 3.5 vorstehend). Somit ist dem Beschwerdeführer trotz des Umstandes, dass er mit seinen Rechts- begehren letztlich nicht durchgedrungen ist, eine angemessene (redu- zierte) Parteientschädigung von Fr. 250.– für die ihm aus der Beschwerde- führung im Rahmen des festgestellten Verfahrensmangels erwachsenen notwendigen Kosten zuzusprechen.</w:t>
      </w:r>
    </w:p>
    <w:p>
      <w:r>
        <w:t>(Dispositiv nächste Seite)</w:t>
      </w:r>
    </w:p>
    <w:p>
      <w:r>
        <w:t>D-3770/2023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