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D-3770/2023 vom 5. Februar 2025</w:t>
      </w:r>
    </w:p>
    <w:p>
      <w:r>
        <w:t>Bundesverwaltungsgericht, 2025-02-05, DE</w:t>
      </w:r>
    </w:p>
    <w:p>
      <w:r>
        <w:rPr>
          <w:b/>
        </w:rPr>
        <w:t xml:space="preserve">Quelle: </w:t>
      </w:r>
      <w:r>
        <w:t>https://mcp.opencaselaw.ch/entscheid/bvger_D-3770_2023</w:t>
      </w:r>
    </w:p>
    <w:p>
      <w:r>
        <w:t>FR: TAF D-3770/2023 du 5 février 2025</w:t>
      </w:r>
    </w:p>
    <w:p>
      <w:r>
        <w:t>IT: TAF D-3770/2023 del 5 febbraio 2025</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t>D-3770/2023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[vgl. BVGE 2023 VI/1 E. 3.8 f.], Art. 48 Abs. 1 und Art. 52 Abs. 1 VwVG).</w:t>
      </w:r>
    </w:p>
    <w:p>
      <w:r>
        <w:rPr>
          <w:b/>
        </w:rPr>
        <w:t>E. 1.4</w:t>
      </w:r>
    </w:p>
    <w:p>
      <w:r>
        <w:t>Auf die Beschwerde ist einzutreten.</w:t>
      </w:r>
    </w:p>
    <w:p>
      <w:r>
        <w:rPr>
          <w:b/>
        </w:rPr>
        <w:t>E. 2</w:t>
      </w:r>
    </w:p>
    <w:p>
      <w:r>
        <w:t>Die Kognition des Bundesverwaltungsgerichts und die zulässigen Rügen richten sich, soweit die Verweigerung des vorübergehenden Schutzes be- treffend, nach Art. 106 Abs. 1 AsylG (i.V.m. Art. 72 AsylG), im Bereich des Ausländerrechts nach Art. 49 VwVG (vgl. BVGE 2014/26 E. 5).</w:t>
      </w:r>
    </w:p>
    <w:p>
      <w:r>
        <w:rPr>
          <w:b/>
        </w:rPr>
        <w:t>E. 3.1</w:t>
      </w:r>
    </w:p>
    <w:p>
      <w:r>
        <w:t>Der Beschwerdeführer rügt eine mangelhafte Feststellung des Sach- verhalts und eine Verletzung des rechtlichen Gehörs. Diese Rüge gilt es vorab zu prüfen, da sie zu einer Rückweisung der Sache an die Vorinstanz führen könnte.</w:t>
      </w:r>
    </w:p>
    <w:p>
      <w:r>
        <w:rPr>
          <w:b/>
        </w:rPr>
        <w:t>E. 3.2</w:t>
      </w:r>
    </w:p>
    <w:p>
      <w:r>
        <w:t>Zur Begründung macht der Beschwerdeführer geltend, das Verhältnis zwischen ihm und seiner Ex-Frau sei nicht vertieft abgeklärt und damit sei der Sachverhalt nicht rechtsgenüglich erstellt worden. Auch vertiefte Abklä- rungen, ob es der Familie tatsächlich möglich wäre, ihre Familiengemein- schaft in der Türkei zu leben, würden gänzlich fehlen. In der angefochtenen Verfügung sei zudem nicht begründet worden, warum es sich bei der ge- lebten Familiengemeinschaft nicht um ein Konkubinat im Sinne von lit. a der Allgemeinverfügung vom 11. März 2022 handle oder warum es sich beim Vater des Kindes nicht um einen engen Familienangehörigen handle. Damit sei die Begründungspflicht verletzt. Weiter werde bei der Prüfung des Wegweisungsvollzugs als einziges Argument die Nichtanwendbarkeit von Art. 8 EMRK erwähnt und unter Punkt II der angefochtenen Verfügung festgestellt, dass gestützt auf Art. 44 AsylG keine vorläufige Aufnahme ge- währt werden könne, während der Vollzug der Wegweisung erst im folgen- den Punkt III geprüft und festgestellt werde, dass der Beschwerdeführer die Flüchtlingseigenschaft nicht erfülle. Dadurch entstehe der Eindruck, dass das vorliegende Verfahren nicht mit dem erforderlichen Mass an Sorgfalt geführt worden sei. Aufgrund der mangelhaften Eröffnung durch</w:t>
      </w:r>
    </w:p>
    <w:p>
      <w:r>
        <w:t>D-3770/2023 Seite 6 das SEM sei es zudem zu einer erheblich verkürzten Beschwerdefrist und verspäteten Akteneinsicht gekommen.</w:t>
      </w:r>
    </w:p>
    <w:p>
      <w:r>
        <w:rPr>
          <w:b/>
        </w:rPr>
        <w:t>E. 3.3</w:t>
      </w:r>
    </w:p>
    <w:p>
      <w:r>
        <w:t>Gemäss Art. 29 Abs. 2 BV haben die Parteien eines Verfahrens An- spruch auf rechtliches Gehör. Dieser Grundsatz wird in den Art. 29 ff. VwVG für das Verwaltungsverfahren konkretisiert. Er dient einerseits der Aufklärung des Sachverhalts, andererseits stellt er ein persönlichkeitsbe- zogenes Mitwirkungsrecht der Partei dar. Der Anspruch auf rechtliches Ge- hör verlangt, dass die verfügende Behörde die Vorbringen des Betroffenen tatsächlich hört, sorgfältig und ernsthaft prüft und in der Entscheidfindung berücksichtigt, was sich entsprechend in der Entscheidbegründung nieder- schlagen muss (vgl. BVGE 2015/10 E. 3.3). Die unrichtige oder unvollständige Feststellung des rechtserheblichen Sachverhalts kann nach Art. 49 Bst. b VwVG gerügt werden. Unrichtig ist die Sachverhaltsfeststellung beispielsweise dann, wenn der Verfügung ein aktenwidriger oder nicht weiter belegbarer Sachverhalt zugrunde gelegt wurde. Unvollständig ist die Sachverhaltsfeststellung, wenn die Behörde trotz der geltenden Untersuchungsmaxime (Art. 12 ff. VwVG) den Sachver- halt nicht von Amtes wegen abgeklärt oder nicht alle für den Entscheid we- sentlichen Sachumstände berücksichtigt hat (vgl. BENJAMIN SCHINDLER, in: Auer/Müller/Schindler [Hrsg.], Kommentar zum Bundesgesetz über das Verwaltungsverfahren [VwVG], 2. Aufl. 2019, Art. 49 N. 29).</w:t>
      </w:r>
    </w:p>
    <w:p>
      <w:r>
        <w:rPr>
          <w:b/>
        </w:rPr>
        <w:t>E. 3.4</w:t>
      </w:r>
    </w:p>
    <w:p>
      <w:r>
        <w:t>Mit dem Beschwerdeführer ist einig zu gehen, dass der angefochtenen Verfügung einige Hinweise auf mangelnde Sorgfalt zu entnehmen sind. So vermischte das SEM die Erwägungen zum Schutzstatus und zum Wegwei- sungsvollzug und sprach von der Nichterfüllung der Flüchtlingseigenschaft, wobei es sich wohl um ein redaktionelles Versehen handelte. Diese Mängel ändern jedoch nichts daran, dass die Vorinstanz zu allen wesentlichen Be- langen Ausführungen machte und es dem Beschwerdeführer denn auch möglich war, sich in seiner Beschwerde inhaltlich gegen die einzelnen Argumente zur Wehr zu setzen. Damit ist nicht von einer schwerwiegenden Verletzung und angesichts des Schriftenwechsels von der Heilung auf Be- schwerdeebene auszugehen.</w:t>
      </w:r>
    </w:p>
    <w:p>
      <w:r>
        <w:t>Weiter kam es bei der Eröffnung zu Fehlern, was gemäss Rüge des Be- schwerdeführers zu einer verkürzten Beschwerdefrist geführt habe. Auch dies vermag eine Kassation jedoch nicht zu rechtfertigen, zumal der Be- schwerdeführer innert Frist ordnungsgemäss Beschwerde erheben konnte und allfällige Nachteile mit der Durchführung des Schriftenwechsels geheilt</w:t>
      </w:r>
    </w:p>
    <w:p>
      <w:r>
        <w:t>D-3770/2023 Seite 7 werden konnten. Schliesslich ist festzustellen, dass das SEM auch seiner Aktenführungspflicht nicht ordnungsgemäss nachgekommen ist, zumal die Akten nicht in chronologischer Reihenfolge abgelegt sind. Dem Beschwer- deführer ist dadurch aber kein wesentlicher Rechtsnachteil entstanden.</w:t>
      </w:r>
    </w:p>
    <w:p>
      <w:r>
        <w:t>Somit ist aufgrund der unsorgfältigen Verfahrensführung nicht von einer schwerwiegenden Verletzung des rechtlichen Gehörs auszugehen, die auf Beschwerdeebene geheilt werden konnte. Entgegen den Ausführungen in der Beschwerde hat das SEM sodann die Begründungspflicht nicht ver- letzt, indem es in seiner Verfügung und Vernehmlassung genügend darge- legt hat, weshalb es von einer Schutzgewährung absah. Das SEM war schliesslich nicht gehalten, aufgrund der Äusserungen des Beschwerde- führers an der Befragung zum Verhältnis zu seiner Ex-Frau weitere Abklä- rungen vorzunehmen. Der Beschwerdeführer hätte diesbezüglich von sich aus weitere Informationen liefern müssen. Dass der Beschwerdeführer in den genannten Punkten eine andere Meinung als die Vorinstanz vertritt, vermag nicht zu einer Verletzung des rechtlichen Gehörs oder mangelhaf- ten Sachverhaltsfeststellung zu führen und ist nachfolgend bei den materi- ellen Erwägungen zu prüfen.</w:t>
      </w:r>
    </w:p>
    <w:p>
      <w:r>
        <w:rPr>
          <w:b/>
        </w:rPr>
        <w:t>E. 3.5</w:t>
      </w:r>
    </w:p>
    <w:p>
      <w:r>
        <w:t>Nach dem Gesagten kann die Verletzung des Anspruchs des Be- schwerdeführers auf rechtliches Gehör als auf Beschwerdeebene geheilt erachtet werden, zumal das Bundesverwaltungsgericht diesbezüglich über die volle Kognition verfügt und der rechtserhebliche Sachverhalt erstellt und somit die notwendige Entscheidreife gegeben ist (vgl. BVGE 2008/47 E. 3.3.4 m. w. H.). Der Antrag um Rückweisung der Sache an die Vor- instanz ist somit abzuweisen.</w:t>
      </w:r>
    </w:p>
    <w:p>
      <w:r>
        <w:rPr>
          <w:b/>
        </w:rPr>
        <w:t>E. 4.1</w:t>
      </w:r>
    </w:p>
    <w:p>
      <w:r>
        <w:t>Gestützt auf Art. 4 AsylG kann die Schweiz Schutzbedürftigen für die Dauer einer schweren allgemeinen Gefährdung, insbesondere während ei- nes Kriegs oder Bürgerkriegs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w:t>
      </w:r>
    </w:p>
    <w:p>
      <w:r>
        <w:t>D-3770/2023 Seite 8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5.1</w:t>
      </w:r>
    </w:p>
    <w:p>
      <w:r>
        <w:t>Das SEM führte zur Begründung der angefochtenen Verfügung im Wesentlichen aus, der Beschwerdeführer gehöre nicht zu der vom Bun- desrat definierten Gruppe der schutzberechtigten Personen, weil er türki- scher Staatsbürger und damit nicht auf den Schutz der Schweiz vor dem Krieg in der Ukraine angewiesen sei. Er könne, wie nachfolgend ausge- führt, in Sicherheit und dauerhaft in sein Heimatland zurückkehren. Über- dies sei er auch nicht zur Inanspruchnahme des Schutzes der Schweiz als enger Familienangehöriger eines ukrainischen Staatsbürgers berechtigt. Weder aus seiner geschiedenen Ehe zu einer Ukrainerin noch aus seiner Vaterschaft zum gemeinsamen ukrainischen Kind lasse sich für ihn ein Schutzanspruch ableiten. Ein Einbezug in den Status seiner Ex-Ehefrau (keine schützenswerte Familiengemeinschaft) oder in jenen seines ge- meinsamen Kindes könne nicht erfolgen. Auf Art. 8 EMRK (Schutz des Fa- milienlebens) könne er sich schon deshalb nicht berufen, weil dieser ein gefestigtes Anwesenheitsrecht seines Kindes in der Schweiz voraussetze. Der S-Status sei jedoch nur vorübergehend und stelle kein gefestigtes An- wesenheitsrecht dar. Ebenso wenig sei ihm gestützt auf Art. 44 AsylG eine vorläufige Aufnahme in der Schweiz zu gewähren, weil die Familienge- meinschaft mit seinem Kind in der Türkei gelebt oder durch regelmässige Besuche seinerseits in der Schweiz oder in einem Drittstaat sichergestellt werden könne. Weder die in seinem Heimatstaat herrschende politische Situation noch andere Gründe würden gegen die Zumutbarkeit der Rück-</w:t>
      </w:r>
    </w:p>
    <w:p>
      <w:r>
        <w:t>D-3770/2023 Seite 9 führung in den Heimatstaat sprechen. Wie er zu Protokoll gegeben habe, habe er niemals Probleme mit den türkischen Behörden gehabt. Er sei aus- serdem zu keinem Zeitpunkt politisch oder religiös aktiv gewesen. Den Grossteil seines Lebens habe er in der Türkei verbracht, sei dort aufge- wachsen und kenne die Traditionen und Gepflogenheiten des Landes. Durch sein abgeschlossenes Hochschulstudium und seine breite Berufs- und Branchenerfahrung sei davon auszugehen, dass er sich beruflich rasch wieder in seinem Heimatland integrieren und eine Arbeit finden könne. Gemäss seinen Angaben würden all seine Familienangehörigen, die grösstenteils einer geregelten Arbeit nachgehen würden, noch im Hei- matland leben und er stehe beinahe täglich in Kontakt mit ihnen. Demnach sei davon auszugehen, dass er in ein intaktes familiäres und soziales Um- feld zurückkomme, auf das er und allenfalls sein Sohn sich notfalls stützen könnten.</w:t>
      </w:r>
    </w:p>
    <w:p>
      <w:r>
        <w:rPr>
          <w:b/>
        </w:rPr>
        <w:t>E. 5.2</w:t>
      </w:r>
    </w:p>
    <w:p>
      <w:r>
        <w:t>In der Beschwerdeschrift macht der Beschwerdeführer namentlich gel- tend, er und seine Partnerin hätten im April 2015 geheiratet und seither in der Ukraine eine gemeinsame Wohnung geteilt. Im Jahr 2019 sei seine Ex- Frau aufgrund von Eheproblemen für sechs Monate zu ihrer Mutter gezo- gen und sie hätten die Scheidung eingeleitet, die von einem ukrainischen Gericht in ihrer Abwesenheit vollzogen worden sei. Bereits im März 2020 sei seine Ex-Frau aber wieder zurück in die gemeinsame Wohnung gezo- gen. Seither hätten sie zusammengelebt, sich gemeinsam um ihr Kind ge- kümmert und ihre Beziehung wiederaufgenommen. An der Anhörung habe er zwar angegeben, dass sie geschieden seien, das erneute Zusammen- leben aber angedeutet. Entsprechende Nachfragen über den Beziehungs- status seien nicht gestellt worden. Er sei sich der Wichtigkeit, die noch im- mer gelebte Beziehung zu seiner Ex-Ehefrau darzulegen, nicht bewusst gewesen. Zudem sei seine Ex-Frau zu diesem Zeitpunkt noch in der Ukra- ine und er mit seinen Gedanken auf sein Kind fokussiert gewesen. Auch nach der Flucht seiner Ex-Frau in die Schweiz sei die Familie gemeinsam in eine kleine Wohnung gezogen, wo sie seit August 2022 leben würden. Auch wirtschaftlich seien sie verflochten, so werde beispielsweise die So- zialhilfe, die er erhalte, auf das Konto seiner Ex-Frau überwiesen. Zudem würden zahlreiche Fotos, die über die letzten Jahre entstanden seien, die gelebte Familiengemeinschaft und die Nähe zwischen ihnen belegen. Trotz der Scheidung gehe somit aus dem gemeinsamen Lebensmittelpunkt, der gegenseitigen Fürsorge, der gemeinsamen Betreuung des Kindes und der wirtschaftlichen Verflochtenheit hervor, dass es sich um eine schützens- werte gemeinsame Lebensgemeinschaft ausschliesslicher Art handle. Dar- über hinaus sei der mittlerweile bald achtjährige Sohn Zeit seines Lebens</w:t>
      </w:r>
    </w:p>
    <w:p>
      <w:r>
        <w:t>D-3770/2023 Seite 10 nie von seinem Vater getrennt gewesen. Auch wenn der Wortlaut der All- gemeinverfügung vom 11. März 2022 dies nicht exakt so wiedergebe, sei nicht ersichtlich, weshalb der Vater eines Kindes nicht auch als «enger Ver- wandter» gelten solle. Weiter könne in Bezug auf den Wegweisungsvollzug nicht ohne Weiteres davon ausgegangen werden, dass der Sohn mit bei- den Elternteilen in der Türkei leben könnte, da die Mutter über keine Auf- enthaltsbewilligung in der Türkei verfüge und auch nicht mit dem Be- schwerdeführer verheiratet sei. Beim Vollzug der Wegweisung werde das Kind entweder von seiner Mutter oder von seinem Vater getrennt. Auch wenn Besuche aus der und in die Türkei theoretisch denkbar wären, sei offensichtlich, dass aufgrund des logistischen, finanziellen und administra- tiven Aufwandes kaum regelmässige Besuche in kindsgerechtem Abstand möglich sein dürften. Eine Trennung von einem Elternteil bedeute eine er- hebliche Gefährdung des Kindswohls. Zur Stützung seiner Vorbringen reichte der Beschwerdeführer einen Unter- mietvertrag, Familienfotos und eine Bestätigung der Sozialen Dienste über die Auszahlung der Sozialhilfe zu den Akten.</w:t>
      </w:r>
    </w:p>
    <w:p>
      <w:r>
        <w:rPr>
          <w:b/>
        </w:rPr>
        <w:t>E. 5.3</w:t>
      </w:r>
    </w:p>
    <w:p>
      <w:r>
        <w:t>Das SEM hielt in seiner Vernehmlassung fest, die im Nachgang der eigentlichen Befragung vorgebrachte Parteibehauptung des Beschwerde- führers, dass dessen geschiedene Ex-Frau im März 2020 wieder bei ihm eingezogen sei, erscheine unglaubhaft. So gehe aus der Aufenthaltsbewil- ligung des Beschwerdeführers eine andere Meldeadresse hervor als die ihm später nachfolgende geschiedene Expartnerin in ihren Eintrittsunterla- gen angegeben habe. Vertiefte Nachfragen betreffend den Beziehungs- und Wohnstatus des Beschwerdeführers und seiner geschiedenen Ex- Partnerin würden sich daher erübrigen, zumal dessen Ex-Ehefrau anfäng- lich in der Ukraine zurückgeblieben sei und dieser so über mehrere Monate hinweg alleine mit dem gemeinsamen Sohn in der Schweiz gewesen sei. Analog gefestigter Rechtsprechung zu Art. 51 AsyIG, wonach der soge- nannte umgekehrte Einbezug nicht möglich sei (vgl. Urteil des BVGer E-1201/2019 vom 20. Mai 2020, E. 2.1-2.3), treffe dies auch auf Art. 71 AsyIG zu. Auch am Wegweisungsentscheid vermöge die nachträgliche Einreise und Gesuchstellung der Ex-Frau nichts zu ändern. Wohlgemerkt sei sie erst zu einem Zeitpunkt in die Schweiz nachgefolgt, als dem Be- schwerdeführer bereits klar gewesen sei, dass seine Vaterschaft zu einem minderjährigen ukrainischen Staatsbürger nicht ausreichen würde, um als Familiennachzügler in dessen Gesuch miteinbezogen zu werden. Selbst bei Wahrunterstellung eines momentan tatsächlich geführten Familienle- bens in der Schweiz sei zudem angemerkt, dass die beiden erst vor</w:t>
      </w:r>
    </w:p>
    <w:p>
      <w:r>
        <w:t>D-3770/2023 Seite 11 weniger als einem Jahr in der Schweiz zusammenzogen seien, sodass die vom Beschwerdeführer argumentierte Anforderung eines zweijährigen ge- meinsamen Lebensmittelpunktes auch durch deren Familienwiedervereini- gung in der Schweiz nicht hinreichend erfüllt sei.</w:t>
      </w:r>
    </w:p>
    <w:p>
      <w:r>
        <w:rPr>
          <w:b/>
        </w:rPr>
        <w:t>E. 5.4</w:t>
      </w:r>
    </w:p>
    <w:p>
      <w:r>
        <w:t>Dem wurde in der Replik entgegengehalten, dass für das ukrainische Melderegister nicht die Massstäbe der Schweizerischen Behörden ange- setzt werden könnten. So würden beispielsweise auch die Schwiegereltern seit mehreren Jahren nicht mehr an der Adresse leben, an der sie gemeldet seien. Entsprechend vermöge einzig der Eintrag in einem Melderegister das gelebte Konkubinat kaum in Zweifel ziehen, zumal dieses unter ande- rem durch zahlreiche Bilder belegt worden sei. Zum Zeitpunkt der Befra- gung des Beschwerdeführers habe diese Information zudem noch nicht vorgelegen, sodass diese fehlende Frage zum Beziehungs- und Wohnsta- tus nichts erkläre und nachgeschoben wirke. Nach der Ankunft der Ex-Frau in der Schweiz im August 2022, mithin vor mehr als zwei Jahren, sei er überdies direkt in eine gemeinsame Wohnung mit ihr gezogen, wo sie seit- her gemeinsam als Familie leben würden. Ihre Heiratspläne hätten sie auf- schieben müssen, da die Ex-Frau im August dieses Jahres eine Krebsdi- agnose erhalten habe. In Bezug auf die Vaterschaft des Beschwerdeführers von einem ukraini- schen Kind sei festzuhalten, dass das Bundesverwaltungsgericht im Urteil D-3363/2022 vom 21. Oktober 2022, E. 5.2 erwogen habe, dass die ukrai- nische Staatsbürgerschaft der Kinder einen Einfluss auf die ganze Familie habe. Auch im Urteil D-2283/2022 vom 30. Mai 2022, E. 7.2 werde festge- stellt, dass bei Eltern mit unterschiedlicher Staatsangehörigkeit nicht ohne Weiteres davon ausgegangen werden könne, dass die ganze Familie auch im Land des nicht-ukrainischen Elternteils Schutz erhalten könne. Zur Stützung der Replik wurden weitere Fotos des Familienlebens aus dem letzten Jahr und ein onkologischer Bericht zu den Akten gereicht.</w:t>
      </w:r>
    </w:p>
    <w:p>
      <w:r>
        <w:rPr>
          <w:b/>
        </w:rPr>
        <w:t>E. 6.1</w:t>
      </w:r>
    </w:p>
    <w:p>
      <w:r>
        <w:t>Nach Durchsicht der Akten schliesst sich das Bundesverwaltungs- gericht der Argumentation in der angefochtenen Verfügung an, welcher der Beschwerdeführer letztlich nichts Entscheidendes entgegenzuhalten vermag.</w:t>
      </w:r>
    </w:p>
    <w:p>
      <w:r>
        <w:rPr>
          <w:b/>
        </w:rPr>
        <w:t>E. 6.2</w:t>
      </w:r>
    </w:p>
    <w:p>
      <w:r>
        <w:t>Eine Schutzgewährung gemäss Ziff. I Bst. c der Allgemeinverfügung vom 11. März 2022 schloss die Vorinstanz zu Recht aus, zumal der Be- schwerdeführer in Sicherheit und dauerhaft in die Türkei zurückkehren</w:t>
      </w:r>
    </w:p>
    <w:p>
      <w:r>
        <w:t>D-3770/2023 Seite 12 kann. Dies wird vorliegend vom Beschwerdeführer auch gar nicht bestrit- ten. Vielmehr macht der Beschwerdeführer geltend, er könne aus der Be- ziehung zu seiner Frau und seinem Kind mit ukrainischer Staatsbürger- schaft den Schutzstatus im Sinne von Bst. a der Allgemeinverfügung ablei- ten.</w:t>
      </w:r>
    </w:p>
    <w:p>
      <w:r>
        <w:rPr>
          <w:b/>
        </w:rPr>
        <w:t>E. 6.3</w:t>
      </w:r>
    </w:p>
    <w:p>
      <w:r>
        <w:t>Dieser Schlussfolgerung dürfte bereits deshalb nicht ohne weiteres ge- folgt werden, als diesfalls vorab zu prüfen gewesen wäre, ob der subsidiäre Schutz durch die Türkei auch einer Schutzgewährung für die Ex-Frau und den Sohn entgegenstehen würde. Eine entsprechende Prüfung wurde vor- liegend jedoch zu Recht nicht vorgenommen, da aufgrund der nachfolgen- den Erwägungen nicht von einer bestehenden eheähnlichen Beziehung auszugehen ist.</w:t>
      </w:r>
    </w:p>
    <w:p>
      <w:r>
        <w:rPr>
          <w:b/>
        </w:rPr>
        <w:t>E. 6.4</w:t>
      </w:r>
    </w:p>
    <w:p>
      <w:r>
        <w:t>Als eheähnliche Beziehung im engeren Sinne gilt praxisgemäss eine auf längere Zeit, wenn nicht auf Dauer angelegte umfassende Lebensge- meinschaft von zwei Personen mit grundsätzlich Ausschliesslichkeitscha- rakter, die sowohl eine geistig-seelische, als auch eine körperliche und eine wirtschaftliche Komponente aufweist und auch etwa als Wohn-, Tisch- und Bettgemeinschaft bezeichnet wird (BGE 109 II 16 E. 1b mit Hinweisen und BGE 108 II 205 E. 2; HAUSHEER, Die privatrechtliche Rechtsprechung des Bundesgerichts im Jahre 1978, ZBJV 116/1980, S. 99 mit Hinweisen; LAURA AEBERLI, in: Peter Uebersax et al. [Hrsg.] Handbuch Ausländerrecht, 3. Auflage 2022, Rz 24.46). Indessen kommt nicht allen drei Komponenten dieselbe Bedeutung zu. Fehlt die Geschlechtsgemeinschaft oder die wirt- schaftliche Komponente, leben die beiden Partner aber trotzdem in einer festen Zweierbeziehung, halten sich gegenseitig die Treue und leisten sich umfassenden Beistand, so ist eine eheähnliche Gemeinschaft zu bejahen. Das Gericht hat in jedem Fall eine Würdigung sämtlicher massgeblicher Faktoren vorzunehmen. Die gesamten Umstände des Zusammenlebens sind von Bedeutung, um die Qualität einer Lebensgemeinschaft beurteilen zu können (vgl. BGE 118 II 235 E. 3 m.w.H.).</w:t>
      </w:r>
    </w:p>
    <w:p>
      <w:r>
        <w:rPr>
          <w:b/>
        </w:rPr>
        <w:t>E. 6.5</w:t>
      </w:r>
    </w:p>
    <w:p>
      <w:r>
        <w:t>Das SEM hat in seiner Verfügung richtigerweise darauf geschlossen, dass zwischen dem Beschwerdeführer und seiner Ex-Frau keine Familien- beziehung im oben erwähnten Sinne vorliegt. Der Beschwerdeführer hat an der Befragung angegeben, dass sie offiziell geschieden seien. Dass die Scheidung keine Bedeutung gehabt habe und die eheliche Beziehung wie- der aufgenommen worden sei, wurde dabei an keiner Stelle geltend ge- macht. Es wäre diesfalls anzunehmen, dass die Scheidung gar nicht er- wähnt oder diese zumindest entsprechend relativiert worden wäre. Es</w:t>
      </w:r>
    </w:p>
    <w:p>
      <w:r>
        <w:t>D-3770/2023 Seite 13 entsteht aber vielmehr der Eindruck, die beiden Eltern hätte sich darauf verständigt, trotz der Trennung, um des Sohnes willen und aus praktischen Gründen im Sinne einer Wohngemeinschaft im gleichen Haushalt zu ver- bleiben. Bezeichnenderweise ist die Ex-Frau denn auch nicht mit dem Be- schwerdeführer und ihrem Sohn in die Schweiz gereist, sondern zunächst in der Ukraine geblieben. Dabei ist zu berücksichtigen, dass aufgrund der Aktenlage nicht von einer kriegsbedingten unfreiwilligen Trennung gespro- chen werden kann; vielmehr ist die Beschwerdeführerin offenbar in der Ukraine geblieben, weil sie als Filialleiterin eines Lebensmittelladens nicht habe ausreisen wollen. Damit war die Gemeinschaft nicht auf Dauer, son- dern nur für die Zeit der Betreuung des Sohnes ausgelegt und es mangelt auch an der Ausschliesslichkeit und der geistig-seelischen, körperlichen und wirtschaftlichen Verbindung. Die aus der Ukraine eingereichten Foto- grafien vermögen das Konkubinat ebenfalls nicht zu belegen. Diese kön- nen auch eigens für die Beschwerde hergestellt worden sein, zumal auch der Zeitpunkt der Aufnahmen unklar ist. Zudem handelt es sich nur um we- nige, über Jahre verteilte Fotografien, die eine Familienbeziehung im oben erwähnten Sinne nicht zu beweisen vermögen. Dass der Beschwerdefüh- rer und seine Ex-Frau ihre Beziehung wiederaufgenommen hätten, wird denn auch erstmals in der Beschwerde behauptet. Das SEM hat die in der Beschwerde erstmalig geltend gemachte Weiterführung der Beziehung deshalb zu Recht als nachgeschoben und unglaubhaft gewertet. Würden der Beschwerdeführer und seine Ex-Frau Heiratspläne hegen, hätten sie längst Gelegenheit gehabt, diese umzusetzen. Die weiteren Umstände der Beziehung und die eingereichten Fotografien vom Familienleben in der Schweiz stellen ebenfalls keine genügend überzeugenden Indizien für die Annahme eines Konkubinats im Sinne der obgenannten Kriterien dar. Ins- gesamt ist vielmehr davon auszugehen, dass die Eltern alles daransetzen, dem Beschwerdeführer zugunsten des Sohnes den Verbleib in der Schweiz zu ermöglichen. Aus diesem Umstand kann jedoch der Bestand einer eheähnlichen Beziehung nicht abgeleitet werden. Entgegen den Aus- führungen in der Beschwerde ist ferner aufgrund der Auszahlung der Sozi- alhilfe auf ein Konto auch nicht von einer wesentlichen wirtschaftlichen Ver- flechtung auszugehen. Nach dem Gesagten ist die Beziehung zwischen dem Beschwerdeführer und seiner Ex-Frau in ihrer Substanz nicht als ehe- ähnlich zu qualifizieren.</w:t>
      </w:r>
    </w:p>
    <w:p>
      <w:r>
        <w:rPr>
          <w:b/>
        </w:rPr>
        <w:t>E. 6.6</w:t>
      </w:r>
    </w:p>
    <w:p>
      <w:r>
        <w:t>Weiter kann der Beschwerdeführer auch aus dem Umstand, dass sein Sohn über einen Schutzstatus S verfügt, keinen eigenen Anspruch auf Ge- währung vorübergehenden Schutzes ableiten. Die vorliegende Konstella- tion – eine Ableitung eines Schutzanspruchs des Vaters eines</w:t>
      </w:r>
    </w:p>
    <w:p>
      <w:r>
        <w:t>D-3770/2023 Seite 14 minderjährigen Schutzberechtigten (sog. umgekehrter Familiennachzug) – wird von Ziff. I Bst. a der Allgemeinverfügung nicht erfasst. Als Familienan- gehörige werden ausdrücklich nur Partnerinnen und Partner sowie minder- jährige Kinder von ukrainischen Staatsbürgerinnen und Staatsbürgern ge- nannt (Art. 71 Abs. 1 sowie auch Art. 51 Abs. 1 AsylG; vgl. Urteil des BVGer D-2299/2023 vom 5. September 2023 E. 5.2, D-4049/2022 vom 12. Okto- ber 2022 E. 7.1). Darüber hinaus können gemäss Bst. a der Allgemeinver- fügung andere enge Verwandte, die zum Zeitpunkt der Flucht ganz oder teilweise unterstützt wurden, in den Schutz einbezogen werden, was vor- liegend nicht der Fall ist. An dieser Einschätzung vermögen die in der Replik zitieren Urteile D-3363/2022 und D-2283/2022 nichts zu ändern, zumal diese keine inhalt- lichen Erwägungen zur Klärung der vorliegend strittigen Frage enthalten, sondern es sich um Kassationen kurz nach Kriegsbeginn handelt, weil sich das SEM nicht ausreichend mit der Familienkonstellation auseinanderge- setzt hatte.</w:t>
      </w:r>
    </w:p>
    <w:p>
      <w:r>
        <w:rPr>
          <w:b/>
        </w:rPr>
        <w:t>E. 6.7</w:t>
      </w:r>
    </w:p>
    <w:p>
      <w:r>
        <w:t>Das SEM hat damit das Gesuch um Gewährung des vorübergehenden Schutzes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Der Beschwerdeführer verfügt insbesondere weder über eine auslän- derrechtliche Aufenthaltsbewilligung noch über einen Anspruch auf Ertei- lung einer solchen (vgl. dazu auch E. 8.2). Die Wegweisung wurde dem- nach vom SEM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w:t>
      </w:r>
    </w:p>
    <w:p>
      <w:r>
        <w:t>D-3770/2023 Seite 15 wenn der strikte Beweis möglich ist, und andernfalls wenigstens glaubhaft zu machen (vgl. BVGE 2011/24 E. 10.2 m.w.H.).</w:t>
      </w:r>
    </w:p>
    <w:p>
      <w:r>
        <w:rPr>
          <w:b/>
        </w:rPr>
        <w:t>E. 8.2</w:t>
      </w:r>
    </w:p>
    <w:p>
      <w:r>
        <w:t>Das SEM hat zunächst zu Recht festgehalten, dass der Beschwerde- führer aus dem Recht auf Familienleben mit seinem Sohn (Art. 8 EMRK) keinen Anspruch auf Erteilung einer Aufenthaltsbewilligung abzuleiten ver- mag. Grundsätzlich setzt die Berufung auf diese Bestimmungen voraus, dass die ausländische Person nahe Verwandte mit einem gefestigten An- wesenheitsrecht (Schweizer Bürgerrecht, Niederlassungsbewilligung oder Aufenthaltsbewilligung, auf deren Verlängerung ein Anspruch besteht) in der Schweiz hat (vgl. BGE 144 II 1). Zwar kann ausnahmsweise von einem gefestigten Aufenthaltsrecht abgesehen werden, wenn dies die Umstände rechtfertigen, insbesondere wenn der Aufenthalt faktisch als Realität zu er- achten ist (vgl. BVGE 2021 VI/1 E. 13.4). Dies rechtfertigt sich vorliegend jedoch bereits deshalb nicht, weil der vorübergehende Schutz gerade nicht auf Dauer ausgelegt ist. Vielmehr ist davon auszugehen, dass der Sohn zusammen mit der Mutter in die Ukraine zurückkehren wird, sobald dies die dortige Situation und Sicherheitslage erlauben. Für diese Einschätzung spricht auch, dass die Ex-Ehefrau wegen ihrer Arbeitsstelle erst sehr spät aus der Ukraine ausgereist ist. Hinzu kommt, dass es dem Beschwerde- führer auch unbenommen bleibt, das Familienleben über die Distanz wei- terzuführen oder gar den Sohn in die Türkei nachzuziehen. Dass ein Ver- bleib in der Türkei mit nur einem Elternteil das Kindswohl verletzen würde, vermag dabei nicht zu überzeugen, zumal der Sohn des Beschwerdefüh- rers sich dort mit dem Vater aufhalten kann, mit dem er davor immer zu- sammengelebt hat und mit dem er auch in die Schweiz kam, während die Mutter zunächst aus beruflichen Gründen in der Ukraine blieb.</w:t>
      </w:r>
    </w:p>
    <w:p>
      <w:r>
        <w:rPr>
          <w:b/>
        </w:rPr>
        <w:t>E. 8.3.1</w:t>
      </w:r>
    </w:p>
    <w:p>
      <w:r>
        <w:t>Der Vollzug ist sodann nicht zulässig, wenn völkerrechtliche Ver- pflichtungen der Schweiz einer Weiterreise der Ausländerin oder des Aus- 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t>D-3770/2023 Seite 16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8.3.3</w:t>
      </w:r>
    </w:p>
    <w:p>
      <w:r>
        <w:t>Der Beschwerdeführer hat in der Schweiz kein Asylgesuch gestellt. Den Akten sind demnach keine Hinweise auf eine Verletzung des flücht- lingsrechtlichen Refoulement-Verbots zu entnehmen.</w:t>
      </w:r>
    </w:p>
    <w:p>
      <w:r>
        <w:rPr>
          <w:b/>
        </w:rPr>
        <w:t>E. 8.3.4</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w:t>
      </w:r>
    </w:p>
    <w:p>
      <w:r>
        <w:rPr>
          <w:b/>
        </w:rPr>
        <w:t>E. 8.3.5</w:t>
      </w:r>
    </w:p>
    <w:p>
      <w:r>
        <w:t>Auch die allgemeine Menschenrechtssituation im Heimatstaat lässt den Wegweisungsvollzug zum heutigen Zeitpunkt nicht als unzulässig er- 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rPr>
          <w:b/>
        </w:rPr>
        <w:t>E. 8.4.2</w:t>
      </w:r>
    </w:p>
    <w:p>
      <w:r>
        <w:t>In der Türkei herrscht keine Situation allgemeiner Gewalt. Das SEM hat in seiner Verfügung richtig geschlossen, dass auch keine individuellen Gründe gegen eine Rückkehr in die Türkei sprechen, da der Beschwerde- führer den Grossteil seines Lebens dort verbracht habe und über ein ab- geschlossenes Hochschulstudium und breite Berufserfahrung sowie ein</w:t>
      </w:r>
    </w:p>
    <w:p>
      <w:r>
        <w:t>D-3770/2023 Seite 17 intaktes familiäres und soziales Umfeld verfüge. Dem wird in der Be- schwerde nichts Wesentliches entgegengehalten. Soweit sich der Be- schwerdeführer auf das Kindeswohl beruft, hat das SEM zu Recht auf Be- suchsmöglichkeiten verwiesen.</w:t>
      </w:r>
    </w:p>
    <w:p>
      <w:r>
        <w:rPr>
          <w:b/>
        </w:rPr>
        <w:t>E. 8.4.3</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72 i.V.m.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10.1</w:t>
      </w:r>
    </w:p>
    <w:p>
      <w:r>
        <w:t>Bei diesem Ausgang des Verfahrens wären die Kosten dem Beschwerdeführer aufzuerlegen (Art. 63 Abs. 1 VwVG). Nachdem jedoch das Gesuch um Gewährung der unentgeltlichen Prozessführung mit Zwi- schenverfügung vom 10. Juli 2023 gutgeheissen wurde, ist von einer Kos- tenauflage abzusehen.</w:t>
      </w:r>
    </w:p>
    <w:p>
      <w:r>
        <w:rPr>
          <w:b/>
        </w:rPr>
        <w:t>E. 10.2</w:t>
      </w:r>
    </w:p>
    <w:p>
      <w:r>
        <w:t>Mit derselben Verfügung wurde das Gesuch um amtliche Verbeistän- dung gutgeheissen und dem Beschwerdeführer der rubrizierte Rechtsver- treter beigeordnet. Ihm ist ein amtliches Honorar für die notwendigen Auf- wendungen im Beschwerdeverfahren auszurichten. Mit der Replik wurde eine Kostennote zu den Akten gereicht. Der darin ausgewiesene zeitliche Aufwand des Rechtsvertreters von 10.75 Stunden scheint angemessen. Davon sind eine Stunde für die im Folgenden zuzusprechende Parteient- schädigung abzuziehen (vgl. E. 10.3). Die Dolmetscherkosten von Fr. 48.19 sind mit den Auslagen zu vergüten. Gestützt auf die in Betracht zu ziehenden Bemessungsfaktoren (Art. 9-13 VGKE) und den</w:t>
      </w:r>
    </w:p>
    <w:p>
      <w:r>
        <w:t>D-3770/2023 Seite 18 kommunizierten Stundenansatz von maximal Fr. 150.– ist das amtliche Ho- norar demnach auf Fr. 1'575.– festzusetzen (inklusive Auslagen).</w:t>
      </w:r>
    </w:p>
    <w:p>
      <w:r>
        <w:rPr>
          <w:b/>
        </w:rPr>
        <w:t>E. 10.3</w:t>
      </w:r>
    </w:p>
    <w:p>
      <w:r>
        <w:t>Aufgrund der festgestellten Verletzung des rechtlichen Gehörs wurde in der Beschwerde zu Recht ein Verfahrensmangel gerügt, dieser wurde jedoch auf Beschwerdeebene geheilt (vgl. E. 3.5 vorstehend). Somit ist dem Beschwerdeführer trotz des Umstandes, dass er mit seinen Rechts- begehren letztlich nicht durchgedrungen ist, eine angemessene (redu- zierte) Parteientschädigung von Fr. 250.– für die ihm aus der Beschwerde- führung im Rahmen des festgestellten Verfahrensmangels erwachsenen notwendigen Kosten zuzusprechen.</w:t>
      </w:r>
    </w:p>
    <w:p>
      <w:r>
        <w:t>(Dispositiv nächste Seite)</w:t>
      </w:r>
    </w:p>
    <w:p>
      <w:r>
        <w:t>D-3770/2023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