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D-3765/2016 vom 4. Juli 2016</w:t>
      </w:r>
    </w:p>
    <w:p>
      <w:r>
        <w:t>Bundesverwaltungsgericht, 2016-07-04, DE</w:t>
      </w:r>
    </w:p>
    <w:p>
      <w:r>
        <w:rPr>
          <w:b/>
        </w:rPr>
        <w:t xml:space="preserve">Quelle: </w:t>
      </w:r>
      <w:r>
        <w:t>https://mcp.opencaselaw.ch/entscheid/bvger_D-3765_2016</w:t>
      </w:r>
    </w:p>
    <w:p>
      <w:r>
        <w:t>FR: TAF D-3765/2016 du 4 juillet 2016</w:t>
      </w:r>
    </w:p>
    <w:p>
      <w:r>
        <w:t>IT: TAF D-3765/2016 del 4 luglio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Verfügung des SEM vom 13. Mai 2016 wurde, soweit sie die Fragen der Flüchtlingseigenschaft, des Asyls und der Anordnung der Wegweisung betrifft (Ziffern 1 - 3 des Dispositivs) nicht angefochten und erwuchs diesbezüglich mit Ablauf der Beschwerdefrist in Rechtskraft. Im Folgenden bildet lediglich die Frage, ob das SEM den Vollzug der Wegweisung zu Recht angeordnet hat oder ob anstelle des Vollzugs die vorläufige Aufnahme anzuordnen ist (Art. 44 Abs. 2 AsylG i.V.m. Art. 83 des Bundesgesetzes vom 16. Dezember 2005 über die Ausländerinnen und Ausländer [AuG, SR 142.20]), Gegenstand des Beschwerdeverfahrens.</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Nigeria ist demnach unter dem Aspekt von Art. 5 AsylG rechtmässig.</w:t>
      </w:r>
    </w:p>
    <w:p>
      <w:r>
        <w:rPr>
          <w:b/>
        </w:rPr>
        <w:t>E. 6.3</w:t>
      </w:r>
    </w:p>
    <w:p>
      <w:r>
        <w:t>Sodann ergeben sich weder aus den Aussagen des Beschwerde­füh­rers noch aus den Akten Anhaltspunkte dafür, dass er für den Fall einer Ausschaffung nach Nigeria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6.4</w:t>
      </w:r>
    </w:p>
    <w:p>
      <w:r>
        <w:t>So ist in erster Linie auf die zutreffenden Erwägungen des SEM in der angefochtenen Verfügung zu verweisen. Dem Beschwerdeführer gelang es demnach nicht, eine Verfolgung im Sinne von Art. 3 EMRK glaubhaft zu machen, wobei exemplarisch auf die deutlichen zeitlichen Widersprüche zwischen der Befragung und der Anhörung hinzuweisen ist. Zudem ist zu unterstreichen, dass der Beschwerdeführer nicht darlegen konnte, wieso gerade er bei der Bande hätte mitmachen sollen, wobei das SEM richtigerweise auf die fehlende Loyalität eines solchen Bandenmitglieds hinwies. In ergänzender Weise ist darauf hinzuweisen, dass der Beschwerdeführer sich - falls es widererwarten zu Nachteilen nach der Rückkehr kommen sollte - an die dortigen Behörden zu wenden oder sich mit einem Umzug innerhalb Nigerias diesen Behelligungen entziehen könnte. Die beschriebenen Nachteile beschränken sich demnach auf eine Stadt respektive ein Quartier, weshalb auch aufgrund dessen nicht von einer konkreten Gefahr im Sinne von Art. 3 EMRK in ganz Nigeria ausgegangen werden kann. In diesem Sinne ist auch der Antrag, es sei eine Botschaftsabklärung durchzuführen, abzuweisen.</w:t>
      </w:r>
    </w:p>
    <w:p>
      <w:r>
        <w:rPr>
          <w:b/>
        </w:rPr>
        <w:t>E. 6.5</w:t>
      </w:r>
    </w:p>
    <w:p>
      <w:r>
        <w:t>Auch die allgemeine Menschenrechtssituation in Nigeria lässt den Wegweisungsvollzug zum heutigen Zeitpunkt klarerweise nicht als unzulässig erscheinen. Nach dem Gesagten ist der Vollzug der Wegweisung sowohl im Sinne der asyl- als auch der völkerrechtlichen Bestimmungen zulässig.</w:t>
      </w:r>
    </w:p>
    <w:p>
      <w:r>
        <w:rPr>
          <w:b/>
        </w:rPr>
        <w:t>E. 6.6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Aus den Akten sind keine Gründe ersichtlich, die gegen die Zumutbarkeit des Wegweisungsvollzugs sprechen könnten. Beim Beschwerdeführer handelt es sich - soweit aus den Akten ersichtlich - um einen jungen, alleinstehenden und gesunden Mann, welcher darüber hinaus über ein soziales und familiäres Beziehungsnetz sowie über eine Verdienstmöglichkeit verfügt, womit ihm die Reintegration nach seiner Abwesenheit möglich sein wird. Somit sprechen weder die allgemeine Lage in Nigeria noch individuelle Gründe gegen den Vollzug der Wegweisung. Nach dem Gesagten erweist sich der Vollzug der Wegweisung als zumutbar.</w:t>
      </w:r>
    </w:p>
    <w:p>
      <w:r>
        <w:rPr>
          <w:b/>
        </w:rPr>
        <w:t>E. 6.7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6.8</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vorliegendem Entscheid in der Hauptsache wird das Gesuch um Befreiung von der Kostenvorschusspflicht (gemäss Art. 63 Abs. 4 VwVG) gegenstandslos.</w:t>
      </w:r>
    </w:p>
    <w:p>
      <w:r>
        <w:rPr>
          <w:b/>
        </w:rPr>
        <w:t>E. 8.2</w:t>
      </w:r>
    </w:p>
    <w:p>
      <w:r>
        <w:t>Das Gesuch um Erlass der Verfahrenskosten (im Sinne von Art. 65 Abs. 1 VwVG) ist im Urteilszeitpunkt abzuweisen, da sich nach vorstehenden Erwägungen die Beschwerde von Anfang an als aussichtslos erwiesen hat. Demzufolge sind dem Beschwerdeführer die Kosten des Verfahrens von Fr. 600.- aufzuerlegen (vgl. Art. 63 Abs. 1 VwVG sowie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