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D-3757/2014 vom 18. Juli 2014</w:t>
      </w:r>
    </w:p>
    <w:p>
      <w:r>
        <w:t>Bundesverwaltungsgericht, 2014-07-18, DE</w:t>
      </w:r>
    </w:p>
    <w:p>
      <w:r>
        <w:rPr>
          <w:b/>
        </w:rPr>
        <w:t xml:space="preserve">Quelle: </w:t>
      </w:r>
      <w:r>
        <w:t>https://mcp.opencaselaw.ch/entscheid/bvger_D-3757_2014</w:t>
      </w:r>
    </w:p>
    <w:p>
      <w:r>
        <w:t>FR: TAF D-3757/2014 du 18 juillet 2014</w:t>
      </w:r>
    </w:p>
    <w:p>
      <w:r>
        <w:t>IT: TAF D-3757/2014 del 18 luglio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4</w:t>
      </w:r>
    </w:p>
    <w:p>
      <w:r>
        <w:t>Mit der dringlichen Änderung des Asylgesetzes vom 28. September 2012 (AS 2012 5359), welche am 29. September 2012 in Kraft trat, wurden unter anderem die Bestimmungen betreffend der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5.1</w:t>
      </w:r>
    </w:p>
    <w:p>
      <w:r>
        <w:t>Das BFM kann ein im Ausland gestelltes Asylgesuch ablehnen, wenn die asylsuchende Person keine Verfolgung glaubhaft machen oder ihr die Aufnahme in einem Drittstaat zugemutet werden kann (Art. 3 und Art. 7 AsylG sowie aArt. 52 Abs. 2 AsylG). Gemäss aArt. 20 Abs. 2 AsylG bewilligt das BFM einer asylsuchenden Person die Einreise zur Abklärung des Sachverhaltes, wenn ihr nicht zugemutet werden kann, im Wohnsitz- oder Aufenthaltsstaat zu bleiben oder in ein anderes Land auszureisen. Gestützt auf aArt.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Ein Asylgesuch kann gemäss aArt. 19 AsylG im Ausland bei einer Schweizerischen Vertretung gestellt werden, die es mit einem Bericht an das BFM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(aArt. 10 Abs. 1 AsylV 1). Ist dies nicht möglich, so wird die asylsuchende Person aufgefordert, ihre Asylgründe schriftlich festzuhalten (aArt.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5.2.1</w:t>
      </w:r>
    </w:p>
    <w:p>
      <w:r>
        <w:t>Die Beschwerdeführenden wurden nicht zu ihren Asylgesuchen befragt. Ihre Vorbringen wurden jedoch bereits im Asylgesuch vom 28. März 2011 schriftlich dargelegt (vgl. Sachverhalt Bst. A). Mit Schreiben des BFM vom 20. August 2012 wurden sie unter Beilage eines explizit aufgelisteten Fragekatalogs gebeten, für die vollständige Erstellung des rechtserheblichen Sachverhalts die entsprechenden Fragen vollständig und präzise zu beantworten (vgl. Sachverhalt Bst. B). Hierzu nahmen die Beschwerdeführenden am 16. September 2012 schriftlich Stellung (vgl. Sachverhalt Bst. C). Der entscheidwesentliche Sachverhalt ist angesichts der schriftlichen Darlegung der Asylgründe soweit erstellt, als die entscheidrelevanten Elemente vorliegen.</w:t>
      </w:r>
    </w:p>
    <w:p>
      <w:r>
        <w:rPr>
          <w:b/>
        </w:rPr>
        <w:t>E. 5.2.2</w:t>
      </w:r>
    </w:p>
    <w:p>
      <w:r>
        <w:t>Bei dieser Sachlage bestand keine Veranlassung, die Beschwer­deführenden vorgängig eines Entscheides durch eine Schweizerische Vertretung zusätzlich persönlich befragen zu lassen. Das BFM hat den verfahrensrechtlichen Anforderungen damit Genüge getan.</w:t>
      </w:r>
    </w:p>
    <w:p>
      <w:r>
        <w:rPr>
          <w:b/>
        </w:rPr>
        <w:t>E. 5.3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Die Einreise ist aber selbst im Falle einer allfälligen Schutzbedürftigkeit zu verweigern, wenn Asylausschlussgründe vorliegen (vgl. BVGE 2011/10).</w:t>
      </w:r>
    </w:p>
    <w:p>
      <w:r>
        <w:rPr>
          <w:b/>
        </w:rPr>
        <w:t>E. 6.1</w:t>
      </w:r>
    </w:p>
    <w:p>
      <w:r>
        <w:t>Halten sich die asylsuchenden Personen wie im vorliegenden Fall in einem Drittstaat auf, bedeutet dies noch nicht zwingend, dass es ihnen auch zuzumuten ist, sich dort um Aufnahme zu bemühen. In einem solchen Fall ist aber im Sinne einer Vermutung davon auszugehen, die betreffenden Personen hätten in diesem Drittstaat bereits den erforderlichen Schutz gefunden, was in der Regel zur Ablehnung der Asylgesuche und der Verweigerung der Einreisebewilligung führt. In jedem Falle sind die Kriterien zu prüfen, welche die Zufluchtnahme in diesem Drittstaat als zumutbar erscheinen lassen, und diese sind mit einer allfälligen Beziehungsnähe zur Schweiz abzuwägen (vgl. a.a.O.).</w:t>
      </w:r>
    </w:p>
    <w:p>
      <w:r>
        <w:rPr>
          <w:b/>
        </w:rPr>
        <w:t>E. 6.2</w:t>
      </w:r>
    </w:p>
    <w:p>
      <w:r>
        <w:t>Es ist festzuhalten, dass sich die Beschwerde mehrheitlich auf eine Wiederholung der bisherigen Vorbringen beschränkt und mithin keine neuen wesentlichen Sachverhaltselemente geltend gemacht werden. Die Überprüfung der Akten ergibt sodann, dass sich die diesbezüglichen Erwägungen in der angefochtenen Verfügung als zutreffend erweisen. Das Bundesverwaltungsgericht gelangt in Übereinstimmung mit dem BFM zum Schluss, dass die Beschwerdeführenden mit den heimatlichen Behörden ernstzunehmende Schwierigkeiten hatten. Ob sie im Falle einer Rückkehr nach Eritrea oder Äthiopien einer flüchtlingsrechtlich relevanten Gefährdung ausgesetzt sein könnten, kann vorliegend dennoch offengelassen werden, da sie den Schutz der Schweiz gemäss aArt. 52 Abs. 2 AsylG nicht benötigen, weil es ihnen - wie im Folgenden aufzuzeigen sein wird - trotz der nicht einfachen Bedingungen für äthiopische beziehungsweise eritreische Flüchtlinge im Sudan zuzumuten ist, im Zufluchtsland zu verbleiben.</w:t>
      </w:r>
    </w:p>
    <w:p>
      <w:r>
        <w:rPr>
          <w:b/>
        </w:rPr>
        <w:t>E. 6.3</w:t>
      </w:r>
    </w:p>
    <w:p>
      <w:r>
        <w:t>Die Beschwerdeführenden befinden sich gestützt auf ihre Aussagen seit 1986 beziehungsweise 1988 im Sudan und sind beim UNHCR registriert. Die vom UNHCR registrierten Flüchtlinge sind grundsätzlich gehalten, sich in einem UNHCR-Flüchtlingslager aufzuhalten und verfügen im Sudan nicht über ein freies Aufenthaltsrecht. Auch die Ausübung einer Arbeit ist in aller Regel nur mittels entsprechender Bewilligung zugänglich (vgl. US Department of State, Country Reports on Human Rights Practices for 2013: Sudan, Section 2. Respect for Civil Liberties, Including: d. Freedom of Movement, Internally Displaced Persons, Protection of Refugees, and Stateless Persons). Viele Flüchtlinge, so auch die Beschwerdeführenden, halten sich indessen nicht in Flüchtlingslagern, sondern illegal in Khartum auf, wo sie versuchen, einer Arbeit nachzugehen. In der Vergangenheit kam es dort in vereinzelten Fällen zu Entführungen von Flüchtlingen beziehungsweise zu deren Deportation ins Heimatland. Gemäss gesicherten Erkenntnissen ist indessen das Risiko einer Deportation oder Verschleppung für Flüchtlinge, die im Sudan vom UNHCR anerkannt sind, gering (vgl. Urteile des Bundesverwaltungsgerichts D-6478/2013 vom 24. Dezember 2013 E. 5.3 und E-1452/2012 vom 15. Juni 2012 m.w.H.). Im vorliegenden Fall bestehen keine konkreten Hinweise auf eine drohende Deportation der Beschwerdeführenden in ihre Heimatländer, da sich aus ihren Angaben nicht ergibt, sie hätten regimekritische Tätigkeiten ausgeübt oder wiesen ein erhöhtes Risikoprofil auf. Die Beschwerdeführenden bringen denn auch keine konkreten Vorfälle zur Sprache, gestützt auf welche von einer konkreten und drohenden Gefährdung ihrer Person auszugehen wäre. Vielmehr machen sie geltend, das UNHCR wisse nicht, wo sie sich aufhielten. Dies liegt indessen, wie vorstehend bereits erwähnt, lediglich an ihnen selbst. Ferner lässt sich aus ihren Angaben immerhin schliessen, dass es ihnen in Khartum gelungen ist, ihren Lebensunterhalt mit Gelegenheitsarbeiten zu verdienen und ein Beziehungsnetz zu ihren Nachbarn aufzubauen. Da sie bereits seit über 25 Jahren in Khartum leben, kann zudem angenommen werden, dass sie - auch aufgrund der grossen heimatlichen Diaspora, welche vor Ort ist - nötigenfalls Unterstützungsleistungen zur Existenzsicherung erhalten würden, um im Sudan leben zu können. Zudem steht es ihnen offen, wie das BFM zutreffend feststellte, sich beim UNHCR um einen Platz in einem Flüchtlingslager zu bemühen, wo ihnen der existenzielle Grundbedarf zur Verfügung gestellt wird. Einer allfälligen Versorgungsnotlage in Khartum könnten sie mit diesem Schritt jedenfalls entgehen. Folglich kann im Fall der Beschwerdeführenden nicht von einer existenziellen und lebensbedrohlichen Notlage ausgegangen werden. An dieser Einschätzung vermögen auch die mit ihrem christlichen Glauben verknüpften Probleme nichts zu ändern. Gemäss den Kenntnissen des Bundesverwaltungsgerichts ist im Sudan die Religionsfreiheit in der Verfassung verankert, und es wird keine Gruppenverfolgung der Christen betrieben. Wie das BFM ebenfalls zutreffend feststellte, sind die christlichen Gemeinschaften im Sudan grundsätzlich anerkannt und dürfen sich in verschiedenen Bereichen wie Seelsorge, Ausbildung, Schule und anderen sozialen Einrichtungen frei betätigen. Auch wenn vereinzelte Diskriminierungen von Christen im Sudan nicht auszuschliessen sind, kann vorliegend nicht von einer unmittelbar drohenden Gefahr für die Beschwerdeführenden ausgegangen werden. Mit ihrem Argument, es sei für sie als Christen im Sudan schwierig, machen sie denn auch keine solchen geltend. Aus den Akten ergibt sich zudem nicht, dass sie konkrete und ihre Personen betreffende Verfolgungsmassnahmen darlegen, dies umso weniger, als die Echtheit der in Kopie eingereichten und an die Beschwerdeführenden gerichteten Aufforderung einer islamischen Gruppierung, den Sudan zu verlassen, zweifelhaft ist. Im Übrigen könnten sich die Beschwerdeführenden nötigenfalls allfälligen Diskriminierungen aufgrund ihres Glaubens auch durch den Aufenthalt in einem Lager entziehen.</w:t>
      </w:r>
    </w:p>
    <w:p>
      <w:r>
        <w:rPr>
          <w:b/>
        </w:rPr>
        <w:t>E. 6.4</w:t>
      </w:r>
    </w:p>
    <w:p>
      <w:r>
        <w:t>Gestützt auf die Aktenlage weisen die Beschwerdeführenden zudem keine (enge) Bindung zur Schweiz auf. Sie machen geltend, dass in Drittländern keine Verwandten leben. Damit bestehen vorliegend keine Anknüpfungspunkte zur Schweiz.</w:t>
      </w:r>
    </w:p>
    <w:p>
      <w:r>
        <w:rPr>
          <w:b/>
        </w:rPr>
        <w:t>E. 6.5</w:t>
      </w:r>
    </w:p>
    <w:p>
      <w:r>
        <w:t>Zusammenfassend verfügen die Beschwerdeführenden im Sudan offensichtlich über weitgehenden Schutz vor einer Abschiebung in ihre Heimatländer sowie vor Verfolgung und können sich im Sudan rechtmässig aufhalten. Sie haben die Möglichkeit, sich beim UNHCR wieder um einen Platz in einem Flüchtlingslager zu bemühen, um unentgeltlich in den Genuss der existenzsichernden Unterstützung zu gelangen, sofern sie den weiteren Aufenthalt in Khartum nicht mehr in Betracht ziehen. Der weitere Verbleib im Sudan ist als zumutbar zu betrachten. Demgegenüber bestehen keine Anknüpfungspunkte zur Schweiz, weshalb die Beziehungsnähe zu diesem Land zu verneinen ist. Die Beschwerdeführenden benötigen folglich insgesamt den subsidiären Schutz der Schweiz gemäss aArt. 52 Abs. 2 AsylG nicht. Das BFM hat den Beschwerdeführenden zu Recht die Einreise in die Schweiz verweigert und ihre Asylgesuche abgelehnt.</w:t>
      </w:r>
    </w:p>
    <w:p>
      <w:r>
        <w:rPr>
          <w:b/>
        </w:rPr>
        <w:t>E. 7</w:t>
      </w:r>
    </w:p>
    <w:p>
      <w:r>
        <w:t>Aus diesen Erwägungen ergibt sich, dass die angefochtene Verfügung Bundesrecht nicht verletzt sowie den rechtserheblichen Sachverhalt richtig und vollständig feststellt (Art. 106 Abs. 1 AsylG). Die Beschwerde ist nach dem Gesagten abzuweisen.</w:t>
      </w:r>
    </w:p>
    <w:p>
      <w:r>
        <w:rPr>
          <w:b/>
        </w:rPr>
        <w:t>E. 8</w:t>
      </w:r>
    </w:p>
    <w:p>
      <w:r>
        <w:t>Bei diesem Ausgang des Verfahrens wären die Kosten grundsätzlich den Beschwerdeführenden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