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D-3745/2018 vom 10. Juli 2018</w:t>
      </w:r>
    </w:p>
    <w:p>
      <w:r>
        <w:t>Bundesverwaltungsgericht, 2018-07-10, DE</w:t>
      </w:r>
    </w:p>
    <w:p>
      <w:r>
        <w:rPr>
          <w:b/>
        </w:rPr>
        <w:t xml:space="preserve">Quelle: </w:t>
      </w:r>
      <w:r>
        <w:t>https://mcp.opencaselaw.ch/entscheid/bvger_D-3745_2018</w:t>
      </w:r>
    </w:p>
    <w:p>
      <w:r>
        <w:t>FR: TAF D-3745/2018 du 10 juillet 2018</w:t>
      </w:r>
    </w:p>
    <w:p>
      <w:r>
        <w:t>IT: TAF D-3745/2018 del 10 luglio 2018</w:t>
      </w:r>
    </w:p>
    <w:p>
      <w:pPr>
        <w:pStyle w:val="Heading2"/>
      </w:pPr>
      <w:r>
        <w:t>Regeste</w:t>
      </w:r>
    </w:p>
    <w:p>
      <w:r>
        <w:t>Aberkennung der Flüchtlingseigenschaft</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und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da keine Pflicht besteht, bei politischen Mehrheiten im Spruchgremium korrigierend einzugreifen (vgl. E. 5.1). Gleiches gilt für den zweiten Vorwurf, wonach der äussere Druck geeignet sei, dass gegen eine unstatthafte Spruchkörperbildung nicht opponiert werde. Dieses Argument erschöpft sich im Kern ohnehin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erheischen kann (vgl. dazu BGE 105 Ib 301 E. 1b).</w:t>
      </w:r>
    </w:p>
    <w:p>
      <w:r>
        <w:rPr>
          <w:b/>
        </w:rPr>
        <w:t>E. 3.3</w:t>
      </w:r>
    </w:p>
    <w:p>
      <w:r>
        <w:t>Das vorliegende Revisionsverfahren wird deshalb in der im Rubrum angegebenen Besetzung beurteilt.</w:t>
      </w:r>
    </w:p>
    <w:p>
      <w:r>
        <w:rPr>
          <w:b/>
        </w:rPr>
        <w:t>E. 4</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dass gemäss dieser Richtlinie keine Urteile gefällt werden dürften, bei denen der Spruchkörper aus zwei oder drei Angehörigen der gleichen Partei bestehe. Im vorliegend angefochtenen Urteil sei von dieser Regel abgewichen worden und zwei der drei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Dass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5.1</w:t>
      </w:r>
    </w:p>
    <w:p>
      <w:r>
        <w:t>Die Argumentation des Rechtsvertreters des Gesuchstellers geht fehl.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5.2</w:t>
      </w:r>
    </w:p>
    <w:p>
      <w:r>
        <w:t>Überdies ist festzuhalten, dass das Vorgehen des Rechtsvertreters im Kern auf eine Blockierung des Rechtsmittelverfahrens beim Bundesverwaltungsgericht abzielt, indem er fortwährend neue, unhaltbare Ausstandsgründe und Manipulationsvorwürfe kreiert. So konstruierte er, unmittelbar nachdem der Aufsichtsanzeige beim Bundesgericht, gemäss welcher das Bundesverwaltungsgericht schwerwiegende unstatthafte Manipulationen bei der Spruchkörperbildung begangen habe, keine Folge geleistet wurde,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es verdient keinen Rechtsschutz (vgl. Tschannen/Zimmerli/Müller, Allgemeines Verwaltungsrecht, 4. Aufl. 2014, § 22 Rz. 26 f.). Das Revisionsgesuch erweist sich folglich als unzulässig. Auf dieses ist deshalb nicht einzutreten.</w:t>
      </w:r>
    </w:p>
    <w:p>
      <w:r>
        <w:rPr>
          <w:b/>
        </w:rPr>
        <w:t>E. 6</w:t>
      </w:r>
    </w:p>
    <w:p>
      <w:r>
        <w:t>An dieser Stelle ist ergänzend hinzuzufügen, dass für die beantragte Sistierung des vorliegenden Verfahrens keine Veranlassung bestand und besteht.</w:t>
      </w:r>
    </w:p>
    <w:p>
      <w:r>
        <w:rPr>
          <w:b/>
        </w:rPr>
        <w:t>E. 7.1</w:t>
      </w:r>
    </w:p>
    <w:p>
      <w:r>
        <w:t>Das Gesuch um Gewährung der unentgeltlichen Rechtspflege ist wegen Aussichtslosigkeit abzuweisen. Das Gesuch um Erlass der Erhebung eines Kostenvorschusses wird mit dem vorliegenden Urteil gegenstandslos.</w:t>
      </w:r>
    </w:p>
    <w:p>
      <w:r>
        <w:rPr>
          <w:b/>
        </w:rPr>
        <w:t>E. 7.2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8</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