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D-3745/2011 vom 17. August 2011</w:t>
      </w:r>
    </w:p>
    <w:p>
      <w:r>
        <w:t>Bundesverwaltungsgericht, 2011-08-17, DE</w:t>
      </w:r>
    </w:p>
    <w:p>
      <w:r>
        <w:rPr>
          <w:b/>
        </w:rPr>
        <w:t xml:space="preserve">Quelle: </w:t>
      </w:r>
      <w:r>
        <w:t>https://mcp.opencaselaw.ch/entscheid/bvger_D-3745_2011</w:t>
      </w:r>
    </w:p>
    <w:p>
      <w:r>
        <w:t>FR: TAF D-3745/2011 du 17 août 2011</w:t>
      </w:r>
    </w:p>
    <w:p>
      <w:r>
        <w:t>IT: TAF D-3745/2011 del 17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Vorliegend wurde der Entscheid des BFM via die Schweizer Botschaft in Colombo am 20. Mai 2011 an den Beschwerdeführer versandt (vgl. Sachverhalt Bst. E). Da sich kein Rückschein bei den Akten befindet,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S. 166 f. Rz. 3.150), ist zugunsten des Beschwerdeführers davon auszugehen, dass die am 1. Juli 2011 in der Schweiz eingetroffene Beschwerde (vgl. Sachverhalt Bst. F)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(EMARK 2004 Nr. 21 E. 2b S. 137, EMARK 2004 Nr. 20 E. 3b S. 130 f., EMARK 1997 Nr. 15 E. 2f S. 131 f.).</w:t>
      </w:r>
    </w:p>
    <w:p>
      <w:r>
        <w:rPr>
          <w:b/>
        </w:rPr>
        <w:t>E. 5.1</w:t>
      </w:r>
    </w:p>
    <w:p>
      <w:r>
        <w:t>Der Beschwerdeführer begründete sein Asylgesuch zunächst damit, er sei im September und im Oktober 2009 von unbekannten Leuten belästigt worden, welche ihn wegen seiner früheren Aktivitäten für die G._______ als F._______ bedroht und von ihm verlangt hätten, ihnen den aktuellen Aufenthaltsort von H._______, dem vormaligen Sekretär der G._______, bekanntzugeben. Wie das BFM in seiner Verfügung vom 4. Mai 2011 indessen zutreffend festgestellt hat, hat der Beschwerdeführer ausdrücklich eingeräumt, seit Oktober 2009 im Zusammenhang mit seiner früheren Tätigkeit für die G._______ beziehungsweise der Person von H._______ von niemandem mehr angegangen worden zu sein, weshalb davon auszugehen ist, dass er diesbezüglich keine Nachteile mehr zu befürchten hat. Abgesehen hiervon erscheint zumindest nicht plausibel, weshalb sich die Unbekannten in dieser Angelegenheit ausgerechnet an ihn gewandt haben sollten, zumal er bereits vor besagtem Vorfall nicht mehr bei der G._______ beschäftigt war und ohnehin nicht davon auszugehen war, dass ihm die aktuelle Kontaktadresse von H._______ im Ausland hätte bekannt sein können.</w:t>
      </w:r>
    </w:p>
    <w:p>
      <w:r>
        <w:rPr>
          <w:b/>
        </w:rPr>
        <w:t>E. 5.2</w:t>
      </w:r>
    </w:p>
    <w:p>
      <w:r>
        <w:t>Hinsichtlich der Befürchtung des Beschwerdeführers, noch heute zufolge seiner Propagandaaktivitäten für L._______ im Vorfeld der M._______ vom (...) behördlich gesucht zu werden, ist Folgendes festzuhalten: Es trifft zwar tatsächlich zu, dass es im Anschluss an die M._______ im (...) zu behördlichen Festnahmen von W._______ aus dem Lager L._______ gekommen ist. Diese wurden indessen nach relativ kurzer Zeit auf Antrag des CID wieder freigelassen, da sie in keine kriminellen Akte verwickelt waren. Darüber hinaus sind die im Nachgang zu den M._______ festgenommenen Anhänger L._______ mit einem Haftbefehl festgenommen worden. Folglich wäre auch der Beschwerdeführer mit Haftbefehl gesucht worden, falls die heimatlichen Behörden tatsächlich ein nachhaltiges Interesse an seiner Person gehabt hätten. Dies war jedoch nicht der Fall, ansonsten ihn die Polizei bei der Personenkontrolle während seines zweiwöchigen Aufenthalts in O._______ (im Februar 2010) zweifellos unverzüglich festgenommen hätte, was indessen seinen Angaben zufolge nicht der Fall war. Vor diesem Hintergrund bestehen auch keine hinreichenden Anhaltspunkte dafür, dass der Beschwerdeführer zufolge seiner früheren W._______ für L._______ heute noch behördlichen Verdächtigungen und Übergriffen ausgesetzt sein könnte.</w:t>
      </w:r>
    </w:p>
    <w:p>
      <w:r>
        <w:rPr>
          <w:b/>
        </w:rPr>
        <w:t>E. 5.3</w:t>
      </w:r>
    </w:p>
    <w:p>
      <w:r>
        <w:t>Der Beschwerdeführer macht im Weiteren geltend, er sei Präsident der Organisation T._______, welche sich als U._______ im politischen Umfeld L._______ formiert habe. Dabei sei er unter der falschen Identität V._______ aufgetreten. Ehemalige Mitglieder der U._______ hätten den srilankischen Behörden nun aber zwischenzeitlich verraten, dass er diese Organisation leite (vgl. Eingabe des Beschwerdeführers vom 9. Januar 2011). Hätte der Beschwerdeführer jedoch - wie von ihm behauptet - aus Gründen des Selbstschutzes eine neue Identität angenommen, bleibt unerfindlich, weshalb sämtliche der von ihm eingereichten Berufsausweise die bei den Schweizer Asylbehörden deklarierten - mutmasslich richtigen - Personalien enthalten, womit die Annahme der "Zweitindentität" den Beschwerdeführer im Ergebnis in keiner Weise vor einem möglichen Zugriff der Behörden geschützt hätte. Aus diesem Grunde muss bezweifelt werden, dass der Beschwerdeführer (unter der falschen Identität V._______) tatsächlich die Leitung der vorgenannten U._______ innehatte, weshalb sich weitere Erörterungen erübrigen.</w:t>
      </w:r>
    </w:p>
    <w:p>
      <w:r>
        <w:rPr>
          <w:b/>
        </w:rPr>
        <w:t>E. 5.4</w:t>
      </w:r>
    </w:p>
    <w:p>
      <w:r>
        <w:t>Der Beschwerdeführer weist überdies auf sein Schicksal hin, während der letzten zwei Jahre gezwungenermassen ein unsicheres Leben geführt zu haben. Diesbezüglich ist festzuhalten, dass die Asylgewährung grundsätzlich nicht dazu dienen kann, einen Ausgleich für vergangenes Unrecht zu schaffen, sondern alleine bezweckt, Schutz vor künftiger Verfolgung zu gewähren. Da im vorliegenden Fall indessen - wie unter E. 5.1 bis 5.3 dargelegt - keine hinreichenden Anhaltspunkte für eine mit beachtlicher Wahrscheinlichkeit und in absehbarer Zukunft drohende Verfolgung des Beschwerdeführers bestehen, sind die Voraussetzungen für die Annahme einer aktuellen Verfolgungsfurcht vorliegend als nicht erfüllt zu betrachten.</w:t>
      </w:r>
    </w:p>
    <w:p>
      <w:r>
        <w:rPr>
          <w:b/>
        </w:rPr>
        <w:t>E. 5.5</w:t>
      </w:r>
    </w:p>
    <w:p>
      <w:r>
        <w:t>Soweit der Beschwerdeführer auf seine missliche allgemeine Situation und insbesondere die Unmöglichkeit, derzeit als D._______ ein ordentliches Auskommen zu finden, hinweist, spricht er, so bedauerlich seine Lage als D._______ in Sri Lanka mit Blick auf die momentan herrschende behördliche Unduldsamkeit in Bezug auf Regimekritik ist, im Ergebnis Sachumstände an, welche im Rahmen eines ordentlichen Asylverfahrens in der Schweiz grundsätzlich nur unter dem Gesichtspunkt der Zumutbarkeit des Wegweisungsvollzugs zu prüfen wären (vgl. EMARK 2003 Nr. 24 E. 5a, 5b und 5e S. 157 ff.).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 Ganz abgesehen davon ist aufgrund der langjährigen Berufserfahrung des Beschwerdeführers sowie seines mutmasslich grossen Beziehungsnetzes davon auszugehen, dass er nicht auf sich allein gestellt ist, weshalb hinsichtlich seiner Person wohl auch nicht von einer eigentlichen wirtschaftlichen Notlage zu sprechen sein dürfte.</w:t>
      </w:r>
    </w:p>
    <w:p>
      <w:r>
        <w:rPr>
          <w:b/>
        </w:rPr>
        <w:t>E. 5.6</w:t>
      </w:r>
    </w:p>
    <w:p>
      <w:r>
        <w:t>Zusammenfassend ist festzuhalten, dass es dem Beschwerdeführer nicht gelungen ist, eine Verfolgung im Sinne von Art. 3 AsylG glaubhaft zu machen. Es erübrigt sich, auf weitere Vorbringen in der Beschwerde einzugehen, da sie am Ergebnis nichts ändern können. Das BFM hat demnach dem Beschwerdeführer zu Recht die Einreise in die Schweiz verweigert beziehungsweise dessen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