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D-3742/2010 vom 5. April 2011</w:t>
      </w:r>
    </w:p>
    <w:p>
      <w:r>
        <w:t>Bundesverwaltungsgericht, 2011-04-05, DE</w:t>
      </w:r>
    </w:p>
    <w:p>
      <w:r>
        <w:rPr>
          <w:b/>
        </w:rPr>
        <w:t xml:space="preserve">Quelle: </w:t>
      </w:r>
      <w:r>
        <w:t>https://mcp.opencaselaw.ch/entscheid/bvger_D-3742_2010</w:t>
      </w:r>
    </w:p>
    <w:p>
      <w:r>
        <w:t>FR: TAF D-3742/2010 du 5 avril 2011</w:t>
      </w:r>
    </w:p>
    <w:p>
      <w:r>
        <w:t>IT: TAF D-3742/2010 del 5 aprile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c Ziff. 1 und Bst. d Ziff. 1 des Bundesgerichtsgesetzes vom 17. Juni 2005 [BGG, SR 173.110]).</w:t>
      </w:r>
    </w:p>
    <w:p>
      <w:r>
        <w:rPr>
          <w:b/>
        </w:rPr>
        <w:t>E. 1.2</w:t>
      </w:r>
    </w:p>
    <w:p>
      <w:r>
        <w:t>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1.3</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Auf die frist- und - vom sprachlichen Mangel abgesehen - formgerecht einge­reichte Beschwerde ist somit einzutreten (Art. 105 und Art. 108 Abs. 1 AsylG, Art. 48 Abs. 1 sowie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Bei diesem Entscheid gelten restriktive Voraussetzungen für die Ertei­lung einer Einreisebewilligung, wobei den Behörden ein weiter Ermes­sensspielraum zukommt (vgl. Entscheidungen und Mitteilungen der Schweize­rischen Asylrekurskommission [EMARK] 2004 Nr. 21 E. 2b S. 137).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EMARK 2004 Nr. 21 E. 2b S. 137, EMARK 2004 Nr. 20 E. 3b S. 130 f., EMARK 1997 Nr. 15 E. 2f S. 131 f.).</w:t>
      </w:r>
    </w:p>
    <w:p>
      <w:r>
        <w:rPr>
          <w:b/>
        </w:rPr>
        <w:t>E. 6</w:t>
      </w:r>
    </w:p>
    <w:p>
      <w:r>
        <w:t>Die Beschwerdeführerin begründete ihr Asylgesuch im Wesentlichen da­mit, sie sei am 6. Februar 2009 entführt und drei Tage lang festgehalten worden. In der Folge habe sie Drohanrufe mit Geldforderungen erhalten. Am 16. Mai 2009 sei sie von unbekannten Leuten gezwungen worden, die­sen einen Geldbetrag in Höhe von 100'000 Rupien zu zahlen (vgl. Ein­gabe der Beschwerdeführerin vom 18. 5. 2009, act. B20/2 S. 2).</w:t>
      </w:r>
    </w:p>
    <w:p>
      <w:r>
        <w:rPr>
          <w:b/>
        </w:rPr>
        <w:t>E. 6.1</w:t>
      </w:r>
    </w:p>
    <w:p>
      <w:r>
        <w:t>Die Beschwerdeführerin machte im Zusammenhang mit ihrer Entfüh­rung am 6. Februar 2009 geltend, man habe sie bei den Verhören beschul­digt, Verbindungen zur LTTE zu unterhalten. Weiter habe man auch ihren Ehemann und dessen Freund E._______ der LTTE-Zuge­hörigkeit bezichtigt. Weiter hätten ihre Befrager wissen wollen, was die beiden Männer miteinander gesprochen hätten. Die Beschwerdeführe­rin äussert dabei die Vermutung, der Geheimdienst der srilankischen Marine könnte etwas mit ihrer damaligen Entführung zu tun ha­ben. Das Bundesverwaltungsgericht geht wie die Vorinstanz davon aus, dass sich die Entführung im Februar 2009 ebenso wie diejenige von E._______ am 31. Dezember 2008 tatsächlich ereignet hat. Wie das BFM in seiner Verfügung vom 30. März 2010 indessen zutreffend erwo­gen hat, weist der Umstand der Freilassung der Beschwerdeführerin nach drei Tagen ohne Auflagen und ohne Einleitung eines Verfahrens darauf hin, dass nach ihrer Befragung keine hinreichenden Verdachtsmomente mehr gegen sie bestanden haben können, tatsächlich Kontakte zur LTTE zu unterhalten beziehungsweise diese Organisation in irgendeiner Weise unterstützt zu haben, was im Übrigen auch ihren eigenen Beteuerungen ent­spricht, nie etwas mit der LTTE zu tun gehabt zu haben. So besehen be­stehen auch keine hinreichenden Anhaltspunkte dafür, dass ihr im Zu­sammenhang mit der Entführung am 6. Februar 2009 heute noch mit beacht­licher Wahrscheinlichkeit einreiserelevante Nachteile drohen könn­ten.</w:t>
      </w:r>
    </w:p>
    <w:p>
      <w:r>
        <w:rPr>
          <w:b/>
        </w:rPr>
        <w:t>E. 6.2</w:t>
      </w:r>
    </w:p>
    <w:p>
      <w:r>
        <w:t>An dieser Einschätzung ändert auch der Umstand nichts, dass die Be­schwerdeführerin nach ihrer Freilassung diverse Drohanrufe mit Geldfor­derungen erhalten hat, liegt doch aufgrund der Akten völlig im Dun­keln, ob diese Telefonate irgendeinen Bezug zu ihrer früheren Entfüh­rung haben. Es entspricht vielmehr einer Erfahrungstatsache, dass weite Teile der Bevölkerung im Norden und Osten Sri Lankas von derartigen Vor­fäl­len betroffen sind, die häufig kriminellen Vereinigungen zuzuschrei­ben sind. Diesbezüglich bestünde für die Beschwerdeführerin indes grund­sätz­lich die Möglichkeit, sich schutzsuchend an die heimatlichen Be­hörden zu wenden, weshalb die geltend gemachten Behelligungen un­ter asylrechtlichen Gesichtspunkten unbeachtlich sind.</w:t>
      </w:r>
    </w:p>
    <w:p>
      <w:r>
        <w:rPr>
          <w:b/>
        </w:rPr>
        <w:t>E. 6.3</w:t>
      </w:r>
    </w:p>
    <w:p>
      <w:r>
        <w:t>Aufgrund des Gesagten stuft das Gericht die auf Beschwerdeebene auf­gestellte Behauptung der Beschwerdeführerin, täglich und bisweilen auch nachts Drohungen ausgesetzt zu sein, wenn nicht als unglaubhaft, so zumindest als stark übertrieben an. Auch ihre in der Beschwerdeergän­zung enthaltene Aussage, sie sei am 21. Mai 2010 telefo­nisch aufgefordert worden, sie möge sich an der Identifizierung ei­ner Person beteiligen, welcher ihr früher ein (Waffen-)Paket übergeben habe, das später in den Besitz von E._______ gelangt sei, er­scheint letztlich unplausibel, da es dem Anrufer ja ohne Weiteres möglich gewesen wäre, persönlich bei ihr vorzusprechen, falls er tatsächlich an ei­ner entsprechenden Zusammenarbeit mit ihr interessiert gewesen wäre.</w:t>
      </w:r>
    </w:p>
    <w:p>
      <w:r>
        <w:rPr>
          <w:b/>
        </w:rPr>
        <w:t>E. 6.4</w:t>
      </w:r>
    </w:p>
    <w:p>
      <w:r>
        <w:t>Gegen eine akute Gefährdungssituation der Beschwerdeführerin spricht im Ergebnis auch der Umstand, dass sie bis heute ihren Wohnsitz an der G._______ in C._______ beibehalten zu haben scheint (vgl. Absender der Beschwerde vom 6. Mai 2010 und Beschwerdeergän­zung vom 21. Mai 2010), wo sie bereits im Jahre 2007 zusammen mit ih­rem Ehemann, dessen drittes Asylgesuch vom BFM am 30. März 2010 im Flüchtlingspunkt wegen Unglaubhaftigkeit der Vorbringen - rechtskräftig - abgelehnt worden ist (vgl. Sachverhalt vorstehend unter I. A. 3. Abschnitt S. 2) gelebt hat (vgl. Absender des ersten Asylgesuches des Ehe­mannes der Beschwerdeführerin vom Oktober 2007, act. A1/1).</w:t>
      </w:r>
    </w:p>
    <w:p>
      <w:r>
        <w:rPr>
          <w:b/>
        </w:rPr>
        <w:t>E. 6.5</w:t>
      </w:r>
    </w:p>
    <w:p>
      <w:r>
        <w:t>Zusammenfassend ist festzustellen, dass es der Beschwerdeführerin nicht gelungen ist, eine Verfolgung im Sinne von Art. 3 AsylG glaubhaft zu machen. Das BFM hat demnach der Beschwerdeführerin zu Recht die Ein­reise in die Schweiz verweigert beziehungsweise deren Asylgesuch ab­geklehnt.</w:t>
      </w:r>
    </w:p>
    <w:p>
      <w:r>
        <w:rPr>
          <w:b/>
        </w:rPr>
        <w:t>E. 6.6</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7</w:t>
      </w:r>
    </w:p>
    <w:p>
      <w:r>
        <w:t>Bei diesem Ausgang des Verfahrens wären dessen Kosten grundsätzlich der Beschwerdeführerin aufzuerlegen (Art. 63 Abs. 1 VwVG). Aus verwal­tungsökonomischen Gründen und in Anwendung von Art. 63 Abs. 1 in fine VwVG und Art. 6 Bst. b des Reglements vom 21. Februar 2008 über die Kosten und Entschädigungen vor dem Bundesverwaltungsgericht (VGKE, SR 173.320.2) ist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