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D-373/2024 vom 10. April 2024</w:t>
      </w:r>
    </w:p>
    <w:p>
      <w:r>
        <w:t>Bundesverwaltungsgericht, 2024-04-10, FR</w:t>
      </w:r>
    </w:p>
    <w:p>
      <w:r>
        <w:rPr>
          <w:b/>
        </w:rPr>
        <w:t xml:space="preserve">Quelle: </w:t>
      </w:r>
      <w:r>
        <w:t>https://mcp.opencaselaw.ch/entscheid/bvger_D-373_2024</w:t>
      </w:r>
    </w:p>
    <w:p>
      <w:r>
        <w:t>FR: TAF D-373/2024 du 10 avril 2024</w:t>
      </w:r>
    </w:p>
    <w:p>
      <w:r>
        <w:t>IT: TAF D-373/2024 del 10 aprile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108 al. 2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[RS 142.20] en relation avec l'art. 49 PA ; voir aussi ATAF 2014/26, consid. 5).</w:t>
      </w:r>
    </w:p>
    <w:p>
      <w:r>
        <w:rPr>
          <w:b/>
        </w:rPr>
        <w:t>E. 1.4</w:t>
      </w:r>
    </w:p>
    <w:p>
      <w:r>
        <w:t>Le Tribunal n'étant pas lié par les motifs invoqués à l'appui du recours (art. 62 al. 4 PA), ni par les considérants de la décision attaquée, il peut admettre ou rejeter le pourvoi pour d'autres motifs que ceux invoqués (cf. THOMAS HÄBERLI in : Waldmann/Weissenberger [éd.], Praxiskommentar zum Bundesgesetz über das Verwaltungsverfahren, Zurich/Bâle/Genève, 2ème éd. 2016, ad art. 62 PA, nos 42 à 49, p. 1306 ss. et ATAF 2009/57 consid. 1.2 et 2007/41 consid. 2).</w:t>
      </w:r>
    </w:p>
    <w:p>
      <w:r>
        <w:t>D-373/2024 Page 6</w:t>
      </w:r>
    </w:p>
    <w:p>
      <w:r>
        <w:rPr>
          <w:b/>
        </w:rPr>
        <w:t>E. 1.5</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p. 828 et jurisp. cit.).</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2010/57 consid. 2.5; 2008/12 consid. 5.1).</w:t>
      </w:r>
    </w:p>
    <w:p>
      <w:r>
        <w:t>D-373/2024 Page 7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3.1</w:t>
      </w:r>
    </w:p>
    <w:p>
      <w:r>
        <w:t>En l’espèce, c’est à juste titre que le SEM a considéré que les déclarations de l’intéressé ne satisfaisaient pas aux conditions requises pour la reconnaissance de la qualité de réfugié selon l’art. 3 LAsi.</w:t>
      </w:r>
    </w:p>
    <w:p>
      <w:r>
        <w:rPr>
          <w:b/>
        </w:rPr>
        <w:t>E. 3.2</w:t>
      </w:r>
    </w:p>
    <w:p>
      <w:r>
        <w:t>D’abord, plusieurs problèmes allégués par le recourant ont pour origine son appartenance à l’ethnie kurde. Ainsi, les autorités n’auraient pas donné suite à la plainte qu’il aurait déposée après avoir été malmené suite à son intervention à un congrès organisé à (…) en (…) 2015. De plus, il aurait eu des rapports conflictuels avec des étudiants. Par ailleurs, la maison familiale aurait été détruite en 2016 alors qu’un couvre-feu régnait sur sa ville d’origine. Enfin, il aurait eu des difficultés à obtenir un logement, à conserver sa place de travail (cf. courrier de son ancien employeur du […] 2024) et aurait eu de longs temps d’attente lors de contrôles de police. Ces problèmes, liés selon lui à son ethnie kurde, aussi désagréables qu’ils puissent être, n’atteignent pas le degré d’intensité constitutif d’une persécution pertinente pour la reconnaissance de la qualité de réfugié, rien n’indiquant par ailleurs qu’il pourrait en être autrement après son retour en Turquie. Certes, la minorité kurde subit notoirement des discriminations et d’autres tracasseries. Cependant, ces problèmes n’atteignent en général pas – comme en l’occurrence – l’intensité dont il est question à l’art. 3 LAsi, le Tribunal n’ayant à ce jour pas retenu de persécution collective contre les Kurdes en Turquie (cf. arrêt du Tribunal E-3620/2019 du 28 décembre 2022 consid. 3.3 et réf. cit. ; cf. aussi arrêt D-4745/2023 du 20 septembre 2023, p. 8 s.). En conséquence, la seule appartenance à l'ethnie kurde du requérant ne justifie pas que la qualité de réfugié lui soit reconnue.</w:t>
      </w:r>
    </w:p>
    <w:p>
      <w:r>
        <w:rPr>
          <w:b/>
        </w:rPr>
        <w:t>E. 3.3</w:t>
      </w:r>
    </w:p>
    <w:p>
      <w:r>
        <w:t>De même, le refus de l’intéressé d’accomplir son service militaire dans l’armée turque n’est pas constitutif d’une persécution au sens de la loi sur l’asile (cf. consid. II ch. 1 p. 7 de la décision attaquée). En effet, il n’y a pas de motif de persécution pertinente lorsque des mesures étatiques visent à faire respecter des devoirs civiques. Ainsi, l’éventualité de servir au sein des forces armées turques n’est pas assimilable à une persécution au sens de la loi et ce, sans rapport avec l’appartenance de l’intéressé à l’ethnie</w:t>
      </w:r>
    </w:p>
    <w:p>
      <w:r>
        <w:t>D-373/2024 Page 8 kurde. Par ailleurs, la crainte de poursuites pour désertion ou refus de servir n'est pas non plus pertinente en matière d'asile, si la peine encourue vise uniquement à réprimer ce comportement (cf. HCR, Guide des Procédures et Critères à Appliquer Pour Déterminer le Statut de Réfugié et Principes Directeurs Sur la Protection Internationale [Guide HCR], Genève, février 2019, p. 218 ss ; arrêt du Tribunal D 6863/2023 du 29 décembre 2023 consid. 7.9). En conséquence, le refus de servir ne peut pas en soi fonder la qualité de réfugié. Cela dit, les craintes de l’intéressé de subir des mauvais traitements et d’être forcé à tuer les siens lors de son service ne constituent que de pures conjectures.</w:t>
      </w:r>
    </w:p>
    <w:p>
      <w:r>
        <w:rPr>
          <w:b/>
        </w:rPr>
        <w:t>E. 3.4</w:t>
      </w:r>
    </w:p>
    <w:p>
      <w:r>
        <w:t>S’agissant des activités politiques de l’intéressé, celui-ci serait actif au sein du HDP depuis (…) après avoir œuvré dans la jeunesse du BDP. En raison de ses activités pour le parti, il ferait encore l’objet d’une procédure judiciaire en Turquie. A l’appui de ses déclarations, il a déposé un certain nombre de documents. Ainsi, accusé d’appartenance à une organisation terroriste armée, l’intéressé aurait été placé sous garde à vue durant (…) jours, du (…) au (…) 2017 (cf. acte d’accusation du parquet de D._______ du […] 2017), puis, selon la décision et le mandat de mise en détention du (…) du (…) 2017, il aurait été placé en détention provisoire. Le (…) 2018, après son transfert à la prison de (…) de E._______, il aurait été mis en liberté provisoire (cf. mandat de libération de […] de D._______ du […] 2018). Par jugement du (…) 2020, l’intéressé a été acquitté par (…) en l’absence de preuves concrètes à son encontre, décision qui est entrée en force (cf. courrier de son avocat en Turquie du […] 2023 et attestation d’entrée en force du jugement d’acquittement du […] 2020). Le recourant a toutefois soutenu que le procureur avait fait recours contre son acquittement auprès de la Cour de cassation. Or, il ressort du courrier de son avocat du (…) 2023, ainsi que de son annexe, que ledit recours émane d’une coprévenue, qui contrairement à l’intéressé, a été condamnée en première instance, et non pas du procureur. L’intéressé a encore produit deux extraits du registre des procédures pénales des (…) et (…) 2023, dont le contenu est identique. Ces extraits mentionnent l’intéressé parmi d’autres personnes et concernent manifestement une coprévenue qui a déposé un recours dont l’issue est toujours pendante devant la Cour de cassation. Dès lors, ces documents, à l’instar des autres documents produits ne sont pas pertinents en l’espèce, n’étant pas susceptibles de démontrer qu’une procédure pénale pour des actes politiques serait actuellement ouverte à l’encontre du recourant. Du reste, cette appréciation est en adéquation avec les déclarations faites par l’intéressé lors de son audition, dont il ne peut être déduit qu’il ait eu un</w:t>
      </w:r>
    </w:p>
    <w:p>
      <w:r>
        <w:t>D-373/2024 Page 9 profil politique à ce point engagé qu’il serait tombé dans le collimateur des autorités. Dès lors, des poursuites pénales en cours en raison de ses activités exercées en faveur du BPD ou du HDP ne sont pas démontrées. Il y a lieu de rappeler que la simple appartenance au HDP ne suffit pas à exposer tous les membres du parti, très nombreux, à des risques graves, à moins qu’ils ne se soient fait remarquer ou soient déjà connus de la police (cf. notamment arrêt du Tribunal E-4747/2023 du 4 octobre 2023 et réf. cit.). Aussi, les sources citées à l’appui du recours en relation avec les personnes affiliées au HDP ne sont pas pertinentes en l’espèce.</w:t>
      </w:r>
    </w:p>
    <w:p>
      <w:r>
        <w:rPr>
          <w:b/>
        </w:rPr>
        <w:t>E. 3.5</w:t>
      </w:r>
    </w:p>
    <w:p>
      <w:r>
        <w:t>Cela dit, compte tenu de l’absence d’un profil politique, il n’apparaît pas crédible que la police l’ait enlevé et lui ait proposé de travailler pour leur compte. De plus, en dépit des menaces qu’il aurait reçues s’il n’acceptait pas cette proposition, celles-ci n’ont pas été mises à exécution, alors qu’il a séjourné encore trois mois à son domicile après leur émission.</w:t>
      </w:r>
    </w:p>
    <w:p>
      <w:r>
        <w:rPr>
          <w:b/>
        </w:rPr>
        <w:t>E. 3.6</w:t>
      </w:r>
    </w:p>
    <w:p>
      <w:r>
        <w:t>Enfin, lors de l’ouverture d’une procédure pénale à l’encontre de son [membre de sa famille], une carte mémoire contenant une photo de l’intéressé et des chansons kurdes aurait été saisie par les autorités. Sur la base de ces éléments, les policiers auraient mentionné dans le procès- verbal établi lors de la perquisition domiciliaire qu’il était membre de l’organisation terroriste PKK-KCK (cf. courriers de l’avocat des […] 2023 et […] 2024). Toutefois , il ressort des documents produits par le recourant qu’un acte d’accusation a été émis à l’encontre de son [membre de famille] (cf. acte d’accusation du […] 2023). En l’espèce, aucun élément susceptible de démontrer l’existence d’une procédure pénale, qui serait actuellement ouverte à l’encontre de l’intéressé, ne peut être déduit des moyens de preuve produits. De même, s’agissant de l’ouverture d’une procédure pénale contre son [membre de famille], il y a lieu de préciser que le risque de persécution réfléchie doit être apprécié en fonction des éléments concrets qui pourraient fonder objectivement une crainte spécifique d’agissements des autorités à l’encontre des membres de la famille. En l’espèce, l’intéressé n’a jamais allégué avoir connu des problèmes en raison de son [membre de famille] jusqu’à son départ de Turquie, et depuis son arrivée en Suisse, il n’a pas valablement démontré qu’il risquerait personnellement des préjudices en raison d’activités de celui-ci en cas de retour en Turquie, ne faisant pas lui-même l’objet d’une procédure pénale.</w:t>
      </w:r>
    </w:p>
    <w:p>
      <w:r>
        <w:rPr>
          <w:b/>
        </w:rPr>
        <w:t>E. 3.7</w:t>
      </w:r>
    </w:p>
    <w:p>
      <w:r>
        <w:t>Dans ces conditions, le recourant ne saurait se prévaloir d’avoir été exposé à des sérieux préjudices déterminants en matière d’asile au</w:t>
      </w:r>
    </w:p>
    <w:p>
      <w:r>
        <w:t>D-373/2024 Page 10 moment de son départ de Turquie, ni d’avoir une crainte fondée de l’être, en cas de retour dans ce pays, au sens de l’art. 3 LAsi.</w:t>
      </w:r>
    </w:p>
    <w:p>
      <w:r>
        <w:rPr>
          <w:b/>
        </w:rPr>
        <w:t>E. 3.8</w:t>
      </w:r>
    </w:p>
    <w:p>
      <w:r>
        <w:t>Il s’ensuit que le recours doit être rejeté, en tant qu’il conteste le refus de la reconnaissance de la qualité de réfugié et de l’octroi de l’asile.</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par l'art. 3 de la Convention du 10 décembre 1984 contre la torture et autres peines ou traitements cruels, inhumains ou dégradants (Conv. torture, RS 0.105).</w:t>
      </w:r>
    </w:p>
    <w:p>
      <w:r>
        <w:rPr>
          <w:b/>
        </w:rPr>
        <w:t>E. 5.2.2</w:t>
      </w:r>
    </w:p>
    <w:p>
      <w:r>
        <w:t>L'exécution du renvoi ne contrevient pas au principe de non-refoulement de l'art. 5 LAsi. Comme exposé précédemment, le recourant n'a pas démontré qu'en cas de retour dans son pays d'origine, il serait exposé à de sérieux préjudices au sens de l'art. 3 LAsi.</w:t>
      </w:r>
    </w:p>
    <w:p>
      <w:r>
        <w:rPr>
          <w:b/>
        </w:rPr>
        <w:t>E. 5.2.3</w:t>
      </w:r>
    </w:p>
    <w:p>
      <w:r>
        <w:t>En ce qui concerne les autres engagements de la Suisse relevant du droit international, il sied d'examiner particulièrement si l'art. 3 CEDH, qui</w:t>
      </w:r>
    </w:p>
    <w:p>
      <w:r>
        <w:t>D-373/2024 Page 11 interdit la torture, les peines ou traitements inhumains, trouve application dans le présent cas d'espèce.</w:t>
      </w:r>
    </w:p>
    <w:p>
      <w:r>
        <w:rPr>
          <w:b/>
        </w:rPr>
        <w:t>E. 5.2.4</w:t>
      </w:r>
    </w:p>
    <w:p>
      <w:r>
        <w:t>En l'occurrence, pour les motifs exposés plus haut, rien n'indique que le recourant pourrait être personnellement visé, en cas de retour dans son pays d'origine, par des mesures incompatibles avec l'art. 3 CEDH ou d'autres dispositions contraignantes de droit international.</w:t>
      </w:r>
    </w:p>
    <w:p>
      <w:r>
        <w:rPr>
          <w:b/>
        </w:rPr>
        <w:t>E. 5.2.5</w:t>
      </w:r>
    </w:p>
    <w:p>
      <w:r>
        <w:t>Enfin, bien que l’intéressé ait encore indiqué, sans autres précisions, qu’il vivait en ménage commun avec sa compagne, requérante d’asile résidant dans le canton de (…), l’art. 8 CEDH ne trouve pas application en l’espèce. En effet, aucun élément au dossier ne permet de considérer qu’il entretiendrait avec celle-ci une relation étroite et effective au sens de la jurisprudence (cf. ATF 144 I 266 consid. 3.3 ; 139 I 330 consid. 2.1) et qu’ils formeraient une communauté familiale. De plus, aucun des deux ne bénéficie en Suisse d’un droit de séjour stable – condition d’application de cette disposition, hormis dans des cas tout à fait exceptionnels (cf. arrêt du Tribunal E-5887/2020 du 18 janvier 2022 consid. 6.5 et réf. cit. ; ATF 135 I 143 consid. 1.3.1 ; ATAF 2012/4 consid. 4.4 et jurisp. cit.).</w:t>
      </w:r>
    </w:p>
    <w:p>
      <w:r>
        <w:rPr>
          <w:b/>
        </w:rPr>
        <w:t>E. 5.2.6</w:t>
      </w:r>
    </w:p>
    <w:p>
      <w:r>
        <w:t>Dès lors, l'exécution du renvoi du recourant sous forme de refoulement ne transgresse aucun engagement de la Suisse relevant du droit international, de sorte qu'elle s'avère licite (art. 44 LAsi et art. 83 al. 3 LEI).</w:t>
      </w:r>
    </w:p>
    <w:p>
      <w:r>
        <w:rPr>
          <w:b/>
        </w:rPr>
        <w:t>E. 5.3</w:t>
      </w:r>
    </w:p>
    <w:p>
      <w:r>
        <w:t>Le recours ne contenant ni motivation ni conclusions sur les questions de l’exigibilité et de la possibilité de l’exécution du renvoi, ces points ne peuvent qu’être confirmés. Il peut ainsi être renvoyé en ce qui les concerne aux considérants de la décision attaquée, ceux-ci étant suffisamment explicites et motivés.</w:t>
      </w:r>
    </w:p>
    <w:p>
      <w:r>
        <w:rPr>
          <w:b/>
        </w:rPr>
        <w:t>E. 5.4</w:t>
      </w:r>
    </w:p>
    <w:p>
      <w:r>
        <w:t>Partant, l’autorité intimée a considéré à bon droit que l'exécution du renvoi du recourant était licite, raisonnablement exigible et possible. Il s'ensuit que le recours doit également être rejeté en tant qu'il conteste l'exécution du renvoi.</w:t>
      </w:r>
    </w:p>
    <w:p>
      <w:r>
        <w:rPr>
          <w:b/>
        </w:rPr>
        <w:t>E. 6</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t>D-373/2024 Page 12</w:t>
      </w:r>
    </w:p>
    <w:p>
      <w:r>
        <w:rPr>
          <w:b/>
        </w:rPr>
        <w:t>E. 7</w:t>
      </w:r>
    </w:p>
    <w:p>
      <w:r>
        <w:t>S'avérant manifestement infondé, il est rejeté dans une procédure à juge unique, avec l'approbation d'un second juge (art. 111 let. e LAsi). Il est dès lors renoncé à un échange d’écritures, le présent arrêt n’étant motivé que sommairement (art. 111a al. 1 et al. 2 LAsi).</w:t>
      </w:r>
    </w:p>
    <w:p>
      <w:r>
        <w:rPr>
          <w:b/>
        </w:rPr>
        <w:t>E. 8.1</w:t>
      </w:r>
    </w:p>
    <w:p>
      <w:r>
        <w:t>Dès lors que les conclusions du recours étaient d’emblée vouées à l’échec, les conclusions cumulatives de l’art. 65 al. 1 PA ne sont pas réalisées, les demandes d’assistance judiciaire partielle et totale doivent ainsi être rejetées, indépendamment de l’indigence du recourant.</w:t>
      </w:r>
    </w:p>
    <w:p>
      <w:r>
        <w:rPr>
          <w:b/>
        </w:rPr>
        <w:t>E. 8.2</w:t>
      </w:r>
    </w:p>
    <w:p>
      <w:r>
        <w:t>Compte tenu de l’issue de la procédure,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D-373/2024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