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D-373/2020 vom 21. Februar 2022</w:t>
      </w:r>
    </w:p>
    <w:p>
      <w:r>
        <w:t>Bundesverwaltungsgericht, 2022-02-21, DE</w:t>
      </w:r>
    </w:p>
    <w:p>
      <w:r>
        <w:rPr>
          <w:b/>
        </w:rPr>
        <w:t xml:space="preserve">Quelle: </w:t>
      </w:r>
      <w:r>
        <w:t>https://mcp.opencaselaw.ch/entscheid/bvger_D-373_2020</w:t>
      </w:r>
    </w:p>
    <w:p>
      <w:r>
        <w:t>FR: TAF D-373/2020 du 21 février 2022</w:t>
      </w:r>
    </w:p>
    <w:p>
      <w:r>
        <w:t>IT: TAF D-373/2020 del 21 febbraio 2022</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 vorbehältlich der Erwägung 4.3 – einzutreten.</w:t>
      </w:r>
    </w:p>
    <w:p>
      <w:r>
        <w:t>D-373/2020 Seite 5</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Schriftenwechsels verzichtet.</w:t>
      </w:r>
    </w:p>
    <w:p>
      <w:r>
        <w:rPr>
          <w:b/>
        </w:rPr>
        <w:t>E. 3</w:t>
      </w:r>
    </w:p>
    <w:p>
      <w:r>
        <w:t>Gemäss Art. 111c Abs. 1 AsylG hat die Eingabe von Asylgesuchen, die in- nert fünf Jahren nach Eintritt der Rechtskraft des Asyl- und Wegweisungs- entscheides eingereicht werden, schriftlich und begründet zu erfolgen. Im vorliegenden Fall hat der Beschwerdeführer – wie oben aufgeführt – bereits am 13. November 2015 das erste Mal in der Schweiz um Asyl nachge- sucht. Mit Urteil des Bundesverwaltungsgerichts E-5455/2018 vom 24. Ok- tober 2018 wurde rechtskräftig über dieses Asylgesuch entschieden. Auf das Wiedererwägungsgesuch des Beschwerdeführers vom 1. April 2019 ist die Vorinstanz mit Verfügung vom 18. Juli 2019 nicht eingetreten. Die erneute Asylgesuchstellung vom 25. November 2019 wurde vom SEM des- halb korrekterweise als Mehrfachgesuch entgegengenommen.</w:t>
      </w:r>
    </w:p>
    <w:p>
      <w:r>
        <w:rPr>
          <w:b/>
        </w:rPr>
        <w:t>E. 4.1</w:t>
      </w:r>
    </w:p>
    <w:p>
      <w:r>
        <w:t>Prüfungsgegenstand ist vorliegend die Frage, ob die Vorinstanz ge- mäss Art. 111c Abs. 1 Satz 1 AsylG zu Recht auf das neue Asylgesuch des Beschwerdeführers nicht eingetreten ist.</w:t>
      </w:r>
    </w:p>
    <w:p>
      <w:r>
        <w:rPr>
          <w:b/>
        </w:rPr>
        <w:t>E. 4.2</w:t>
      </w:r>
    </w:p>
    <w:p>
      <w:r>
        <w:t>Die Beschwerdeinstanz enthält sich – sofern sie den Nichteintretens- 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eventuali- ter die Feststellung der Flüchtlingseigenschaft und die Gewährung von Asyl beantragt, ist nach dem Gesagten auf die entsprechenden Rechtsbe- gehren nicht einzutreten.</w:t>
      </w:r>
    </w:p>
    <w:p>
      <w:r>
        <w:t>D-373/2020 Seite 6</w:t>
      </w:r>
    </w:p>
    <w:p>
      <w:r>
        <w:rPr>
          <w:b/>
        </w:rPr>
        <w:t>E. 4.4</w:t>
      </w:r>
    </w:p>
    <w:p>
      <w:r>
        <w:t>Die Frage der Wegweisung und deren Vollzugs wurde jedoch vom SEM materiell geprüft, weshalb dem Bundesverwaltungsgericht diesbezüglich volle Kognition zukommt.</w:t>
      </w:r>
    </w:p>
    <w:p>
      <w:r>
        <w:rPr>
          <w:b/>
        </w:rPr>
        <w:t>E. 5.1</w:t>
      </w:r>
    </w:p>
    <w:p>
      <w:r>
        <w:t>In der Beschwerde werden formelle Rügen erhoben. Sie sind vorab zu beurteilen, da sie allenfalls geeignet wären, eine Kassation der vorinstanz- lichen Verfügung zu bewirken.</w:t>
      </w:r>
    </w:p>
    <w:p>
      <w:r>
        <w:rPr>
          <w:b/>
        </w:rPr>
        <w:t>E. 5.2</w:t>
      </w:r>
    </w:p>
    <w:p>
      <w:r>
        <w:t>Der Beschwerdeführer rügt, das SEM sei willkürlich auf sein Mehrfach- gesuch nicht eingetreten. In vergleichbaren Fällen sei die die Vorinstanz auf das Mehrfachgesuch eingetreten und habe die Sache materiell geprüft. Die Vorinstanz habe durch die Wahl des Nichteintretensentscheids das Willkürverbot verletzt.</w:t>
      </w:r>
    </w:p>
    <w:p>
      <w:r>
        <w:rPr>
          <w:b/>
        </w:rPr>
        <w:t>E. 5.3</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SCHEFER, Grundrechte in der Schweiz, 4. Aufl. 2008, S. 11; ULRICH HÄFELI/WALTER HALLER/HELEN KELLER/DANIELA THURNHERR, Allge- meines Verwaltungsrecht, 9. Auflage 2016, N 811 f.; BGE 133 I 149 E. 3.1, mit weiteren Hinweisen). Dabei muss rechtsgenüglich ausgeführt werden, worin die angebliche Willkür bestehen soll (BGE 116 Ia 426 S. 428, mit weiteren Hinweisen).</w:t>
      </w:r>
    </w:p>
    <w:p>
      <w:r>
        <w:rPr>
          <w:b/>
        </w:rPr>
        <w:t>E. 5.4</w:t>
      </w:r>
    </w:p>
    <w:p>
      <w:r>
        <w:t>Das SEM hat in seiner Verfügung substanziiert dargelegt, weshalb der angefochtene Entscheid als Nichteintretensentscheid erging. Das SEM vertrat im angefochtenen Entscheid die Auffassung, der Beschwerdeführer habe in der Eingabe vom 25. November 2019 mit seinem pauschalen Ver- weis auf politische Entwicklungen der jüngeren Vergangenheit oder mögli- che Zukunftsszenarien keinen persönlichen Bezug zur Präsidentschafts- wahl vom 16. November 2019 respektive deren Folgen vorgebracht; damit fehle es an einer gehörigen Begründung im Sinne von Art. 111c Abs. 1 AsylG. Ihre Einschätzung hat die Vorinstanz sodann auch nachvollziehbar begründet. Das Vorgehen des SEM ist rechtlich nicht zu beanstanden. In der Praxis ist ein Nichteintreten auf ein unbegründetes Mehrfachgesuch ausdrücklich vorgesehen und wird durch die Rechtsprechung geschützt:</w:t>
      </w:r>
    </w:p>
    <w:p>
      <w:r>
        <w:t>D-373/2020 Seite 7 Sofern eine asylsuchende Person ihrer Begründungspflicht nicht nach- kommt, hat die Behörde gemäss Art. 111c Abs. 1 AsylG in Verbindung mit Art. 13 Abs. 2 VwVG neben der formlosen Abschreibung die Option, auf das Gesuch nicht einzutreten (BVGE 2014/39 E. 7). Die Bezugnahme auf andere – nach Meinung des Rechtsvertreters des Beschwerdeführers ähn- lich gelagerte – Fälle vermag daran nichts zu ändern. Eine Verletzung des Willkürverbots ist nicht ersichtlich, insbesondere da, wie zu sehen sein wird, das Gericht die Auffassung der Vorinstanz teilt. Nach diesen Erwägungen ist auch die Rüge abzuweisen, wonach die Vor- instanz das rechtliche Gehör des Beschwerdeführers verletzt und den rechtserheblichen Sachverhalt unvollständig und unrichtig festgestellt habe. Vorliegend ist weder eine Verletzung des rechtlichen Gehörs bezie- hungsweise der Begründungspflicht (vgl. BVGE 2016/9 E. 5.1) noch eine unrichtige oder unvollständige Sachverhaltsfeststellung (vgl. BVGE 2016/2 E. 4.3) ersichtlich. Die Vorinstanz hat in ihrem Entscheid vom 14. Januar 2020 erläutert, warum sie das Gesuch als ungenügend begründet erach- tete. Die Verfügung des SEM enthält auch – im angemessenen Rahmen der Begründung eines Nichteintretensentscheids, in welchem gerade keine materielle Prüfung stattfinden soll – eine Darstellung des Sachverhalts, die genügend ist, um nachvollziehen zu können, weshalb das SEM die als «neu» bezeichneten Vorbringen des Beschwerdeführers als nicht genü- gend auf seinen Einzelfall individualisiert erachtete, als dass es auf das Gesuch hätte eintreten müssen. Die Beschwerdeeingabe zeigt im Übrigen, dass eine sachgerechte Anfechtung der vorinstanzlichen Verfügung ohne Weiteres möglich war.</w:t>
      </w:r>
    </w:p>
    <w:p>
      <w:r>
        <w:rPr>
          <w:b/>
        </w:rPr>
        <w:t>E. 5.5</w:t>
      </w:r>
    </w:p>
    <w:p>
      <w:r>
        <w:t>Soweit in Beschwerde schliesslich eingewendet wird, die Vorinstanz werfe dem Beschwerdeführer sinngemäss vor, er habe seine Mitwirkungs- pflicht gemäss Art. 13 Abs. 2 VwVG verletzt, indem er keinen hinreichen- den Bezug zwischen der politischen Lage in Sri Lanka und seiner Person hergestellt habe, verkenne das SEM, dass sich die Mitwirkungspflicht im Asylverfahren nach Art. 8 AsylG richte, geht dieser Einwand fehl. Diesbe- züglich ist festzuhalten, dass das SEM die Frage der (nicht) gehörigen Be- gründung zutreffend in Anwendung von Art. 111c AsylG in Verbindung mit Art. 13 Abs. 2 VwVG (und nicht in Anwendung von Art. 8 AsylG) geprüft hat; denn es handelt sich bei der erforderlichen Begründungsdichte nicht um ein spezialgesetzliches, sondern um ein allgemeines verwaltungsrechtli- ches Kriterium. Ein Mehrfachgesuch kann durchaus unter Beachtung der spezifischen asylrechtlichen Mitwirkungspflichten von Art. 8 AsylG gestellt werden und sich dennoch als nicht gehörig begründet im Sinn von Art. 111c</w:t>
      </w:r>
    </w:p>
    <w:p>
      <w:r>
        <w:t>D-373/2020 Seite 8 AsylG in Verbindung mit Art. 13 Abs. 2 VwVG erweisen, zumal Art. 13 Abs. 2 VwVG die Rechtsfolge einer mangelnden Mitwirkung aufzeigt.</w:t>
      </w:r>
    </w:p>
    <w:p>
      <w:r>
        <w:rPr>
          <w:b/>
        </w:rPr>
        <w:t>E. 5.6</w:t>
      </w:r>
    </w:p>
    <w:p>
      <w:r>
        <w:t>Nach dem Gesagten erweisen sich die formellen Rügen als unbegrün- det, weshalb keine Veranlassung besteht, die angefochtene Verfügung aufgrund dieser Rügen aufzuheben und die Sache an die Vorinstanz zu- rückzuweisen.</w:t>
      </w:r>
    </w:p>
    <w:p>
      <w:r>
        <w:rPr>
          <w:b/>
        </w:rPr>
        <w:t>E. 6.1</w:t>
      </w:r>
    </w:p>
    <w:p>
      <w:r>
        <w:t>Das SEM erachtete das Mehrfachgesuch als ungenügend begründet. Der Beschwerdeführer habe nicht aufgezeigt, inwiefern er selbst von den jüngsten politischen Ereignissen in Sri Lanka direkt betroffen sei. Es be- stehe kein Anlass zur Annahme, dass ganze Volksgruppen unter Präsident Gotabaya Rajapaksa kollektiv einer Verfolgungsgefahr ausgesetzt wären. Voraussetzung für die Annahme einer Verfolgungsgefahr aufgrund der Präsidentschaftswahlen vom 16. November 2019 sei ein persönlicher Be- zug zu eben diesem Ereignis respektive dessen Folgen. Dafür reiche es nicht aus, pauschal auf politische Entwicklungen oder mögliche Zukunfts- szenarien zu verweisen. Weder aus der Eingabe vom 25. November 2019 noch aus den eingereichten Medienberichten gehe hervor, weshalb gerade der Beschwerdeführer infolge des Machtwechsels in Sri Lanka bei einer Rückkehr asylbeachtlich verfolgt würde. In Bezug auf seine Aussagen, er gehöre einer bestimmten sozialen Gruppe an und sei aufgrund seines Pro- fils bei einer Rückkehr nach Sri Lanka gefährdet, müsse zudem festgehal- ten werden, dass sowohl die geltend gemachten Risikofaktoren als auch die erwähnte Gruppenzugehörigkeit bereits vor dem materiellen Urteil E-5455/2018 vom 24. Oktober 2018 bestanden hätten und deshalb allen- falls revisionsweise beim Gericht geltend zu machen wären.</w:t>
      </w:r>
    </w:p>
    <w:p>
      <w:r>
        <w:rPr>
          <w:b/>
        </w:rPr>
        <w:t>E. 6.2</w:t>
      </w:r>
    </w:p>
    <w:p>
      <w:r>
        <w:t>In seiner Rechtsmitteleingabe hält der Beschwerdeführer am Vorliegen einer asylrelevanten Verfolgung aufgrund des Machtwechsels in seinem Heimatland fest. So seien gemäss einem Bericht der "Working Group on Arbitrary Detention" vom 23. Juli 2018 nach Sri Lanka zurückkehrende Ta- milen, nachdem sie im Ausland Asyl gesucht oder gearbeitet hätten, ver- haftet worden. Zudem sei von vergleichbaren Fällen bekannt, dass der Staatsapparat zusammen mit paramilitärischen Gruppen tamilische Perso- nen, welche den LTTE naheständen, vormals LTTE-Mitglieder gewesen seien beziehungsweise solche unterstützt hätten, systematisch behellige, willkürlich verhafte, verschwinden lasse und unter anderem Lösegelder er- presse. Der Staatsapparat sehe in der Person des Beschwerdeführers da- her ein potenzielles Risiko für den Einheitsstaat. Mithin entspreche er dem</w:t>
      </w:r>
    </w:p>
    <w:p>
      <w:r>
        <w:t>D-373/2020 Seite 9 vom Bundesverwaltungsgericht definierten Risikoprofil. Insbesondere aus der Schweiz zurückkehrende Tamilen müssten – aufgrund des Konflikts mit der Schweizer Botschaft sowie des Urteils vom 8. November 2019, als das Bundesgericht die LTTE weder als kriminelle noch als terroristische Orga- nisation eingestuft habe – mit Inhaftierung und Folterungen rechnen.</w:t>
      </w:r>
    </w:p>
    <w:p>
      <w:r>
        <w:rPr>
          <w:b/>
        </w:rPr>
        <w:t>E. 6.3</w:t>
      </w:r>
    </w:p>
    <w:p>
      <w:r>
        <w:t>Das zentrale Beschwerdevorbringen, wonach im Mehrfachgesuch ein persönlicher Bezug zur aktuellen Lage in Sri Lanka nach dem Regierungs- wechsel dargelegt worden sei, ist nicht stichhaltig. So schilderte der Be- schwerdeführer lediglich die möglichen Gefahren für Personen, die ein po- litisches Profil im Sinne einer (vermeintlichen) Verbindung zu den LTTE aufweisen. Im Referenzurteil E-1866/2015 vom 15. Juli 2016 nahm das Bundesverwaltungsgericht eine Analyse der Situation von Rückkehrenden nach Sri Lanka vor (vgl. ebenda E. 8) und stellte fest, dass aus Europa respektive der Schweiz zurückkehrende tamilische Asylsuchende nicht ge- nerell einer ernstzunehmenden Gefahr von Verhaftung und Folter ausge- setzt seien. Das Gericht orientierte sich bei der Beurteilung der Gefahr für Rückkehrende, Opfer ernsthafter Nachteile im Sinn von Art. 3 AsylG zu werden, an verschiedenen Risikofaktoren. Die im Referenzurteil des Bun- desverwaltungsgerichts entwickelten Risikoprofile haben weiterhin Gültig- keit – auch nach dem Machtwechsel im November 2019. Der Beschwerdeführer erfüllt jedoch nach der Aktenlage keines der ein- schlägigen Profile, die ein starkes Verfolgungsrisiko begründen. In diesem Zusammenhang wurde bereits im Urteil E-5455/2018 vom 24. Oktober 2018 festgehalten, es seien keine massgeblichen Hinweise darauf ersicht- lich, dass er aufgrund der Vorgeschichte ins Visier der sri-lankischen Be- hörden geraten könnte. Namentlich sei – da seine Vorbringen als unglaub- haft beurteilt werden müssten – nicht davon auszugehen, die Behörden würden ihm eine Verbindung zu den LTTE unterstellen. In der Beschwerde wird nun erneut behauptet, der Beschwerdeführer sei der sozialen Gruppe der abgewiesenen Asylsuchenden mit tamilischer Abstammung und (ver- meintlichen) LTTE-Verbindungen zuzuordnen. Die entsprechenden Vor- bringen wurden jedoch bereits im ersten Asylverfahren als nicht stichhaltig erachtet und neue Elemente, die für die Zugehörigkeit zur genannten Gruppe sprechen würden, macht der Beschwerdeführer nicht geltend. Im Übrigen teilt das Bundesverwaltungsgericht die Auffassung der Vorinstanz, dass aus den eingereichten Medienberichten kein persönlicher Bezug zum Beschwerdeführer ersichtlich ist. Auf die zutreffende Würdigung durch die Vorinstanz unter IV Ziff. 3 des angefochtenen Entscheides kann in diesem Punkt verwiesen werden.</w:t>
      </w:r>
    </w:p>
    <w:p>
      <w:r>
        <w:t>D-373/2020 Seite 10</w:t>
      </w:r>
    </w:p>
    <w:p>
      <w:r>
        <w:rPr>
          <w:b/>
        </w:rPr>
        <w:t>E. 6.4</w:t>
      </w:r>
    </w:p>
    <w:p>
      <w:r>
        <w:t>Zusammenfassend ergibt sich, dass die Prüfung des Mehrfachgesuchs durch das SEM nicht zu beanstanden ist. Es hat in zutreffender Weise das Erfordernis einer ausreichenden Begründung im Sinne von Art. 111c Abs. 1 AsylG als nicht erfüllt erachtet und ist zu Recht in Anwendung von Art. 13 Abs. 2 VwVG auf das 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w:t>
      </w:r>
    </w:p>
    <w:p>
      <w:r>
        <w:t>D-373/2020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welche die Flüchtlingseigenschaft erfüllen. Aufgrund des Ausgangs des ersten Asylverfahrens, einschliesslich der daran anschlies- senden Rechtsmittel- und Folgeverfahren, sowie dem – wie oben aufge- zeigt – zurecht erfolgten Nichteintreten auf das Mehrfachgesuch vom 25. November 2019, ist vorliegend weiterhin davon auszugehen, dass Be- schwerdeführer in seinem Heimatland keine asylrechtlich relevante Verfol- gung zu befürchten hat. Der in Art. 5 AsylG verankerte Grundsatz der Nicht- rückschiebung kann deshalb im vorliegenden Verfahren keine Anwendung finden. Eine Rückkehr des Beschwerdeführers in den Heimatstaat ist dem- 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Es besteht kein Grund zur Annahme, dass sich die jüngs- ten politischen Entwicklungen in Sri Lanka konkret auf den Beschwerde- führer auswirken könnten. Die allgemeine Menschenrechtssituation in Sri Lanka lässt den Wegweisungsvollzug zum heutigen Zeitpunkt nicht als ge- nerell unzulässig erscheinen und der Beschwerdeführer weist keine indivi- duellen Merkmale auf, welche eine Unzulässigkeit des Vollzugs begründen könnten. Der Vollzug der Wegweisung erweist sich damit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D-373/2020 Seite 12</w:t>
      </w:r>
    </w:p>
    <w:p>
      <w:r>
        <w:rPr>
          <w:b/>
        </w:rPr>
        <w:t>E. 8.3.2</w:t>
      </w:r>
    </w:p>
    <w:p>
      <w:r>
        <w:t>Im Hinblick auf die Zumutbarkeit des Wegweisungsvollzugs kann mit der Vorinstanz auf die Ausführungen im Urteil E-5455/2018 vom 24. Okto- ber 2018 (S. 12 f.) verwiesen werden. Die Beschwerdevorbringen vermö- gen die dortige Einschätzung nicht zu erschüttern. Der Vollzug der Weg- weisung erweist sich als weiterhin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erweist sich demnach als offensichtlich unbegründet und ist abzuweisen, soweit darauf einzutreten ist.</w:t>
      </w:r>
    </w:p>
    <w:p>
      <w:r>
        <w:rPr>
          <w:b/>
        </w:rPr>
        <w:t>E. 10.1</w:t>
      </w:r>
    </w:p>
    <w:p>
      <w:r>
        <w:t>Das Gesuch um Gewährung der unentgeltlichen Rechtspflege ist ab- zuweisen, da die Begehren, wie sich aus den vorstehenden Erwägungen ergibt, als aussichtslos zu bezeichnen sind (vgl. Art. 65 Abs. 1 VwVG). Dementsprechend ist auch das Gesuch um unentgeltliche Rechtsverbei- ständung abzuweisen.</w:t>
      </w:r>
    </w:p>
    <w:p>
      <w:r>
        <w:rPr>
          <w:b/>
        </w:rPr>
        <w:t>E. 10.2</w:t>
      </w:r>
    </w:p>
    <w:p>
      <w:r>
        <w:t>Bei diesem Ausgang des Verfahrens sind die Kosten dem Beschwerdeführer aufzuerlegen (Art. 63 Abs. 1 VwVG) und praxisgemäss auf insgesamt Fr. 1'500.– festzusetzen (Art. 1–3 des Reglements vom 21. Februar 2008 über die Kosten und Entschädigungen vor dem Bundes- verwaltungsgericht [VGKE, SR 173.320.2]). (Dispositiv nächste Seite)</w:t>
      </w:r>
    </w:p>
    <w:p>
      <w:r>
        <w:t>D-373/2020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