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D-3736/2007 vom 2. Dezember 2010</w:t>
      </w:r>
    </w:p>
    <w:p>
      <w:r>
        <w:t>Bundesverwaltungsgericht, 2010-12-02, FR</w:t>
      </w:r>
    </w:p>
    <w:p>
      <w:r>
        <w:rPr>
          <w:b/>
        </w:rPr>
        <w:t xml:space="preserve">Quelle: </w:t>
      </w:r>
      <w:r>
        <w:t>https://mcp.opencaselaw.ch/entscheid/bvger_D-3736_2007</w:t>
      </w:r>
    </w:p>
    <w:p>
      <w:r>
        <w:t>FR: TAF D-3736/2007 du 2 décembre 2010</w:t>
      </w:r>
    </w:p>
    <w:p>
      <w:r>
        <w:t>IT: TAF D-3736/2007 del 2 dicembre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L'intéressée a qualité pour recourir. Présenté dans la forme et le délai prescrits par la loi, le recours est recevable (art. 105 LAsi en relation avec l'art. 37 LTAF, art. 48 al. 1,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MINH SON NGUYEN, Droit public des étrangers, Berne 2003, p. 447 ss; MARIO GATTIKER, La procédure d'asile et de renvoi, Berne 1999, p. 69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déclaré avoir fui son pays après s'être évadée de la prison dans laquelle elle avait été emprisonnée à la place de son époux, lequel était recherché par les autorités camerounaises en raison de ses activités politiques. Tout d'abord, les propos tenus par la recourante sont si inconsistants et divergents qu'ils ne satisfont pas aux exigences de vraisemblance de l'art. 7 LAsi. A titre d'exemple, l'intéressée n'a pas été en mesure de fournir le moindre détail quant aux activités exercées par son époux, se contentant d'expliquer qu'elle avait peur de lui et ne lui posait pas de questions. Or il est inconcevable que, mariée depuis plus de dix ans, elle ne se soit jamais intéressée à ce qu'il faisait et ne lui ait même jamais demandé son numéro de téléphone portable (cf. pv audition CEP p. 1), afin de pouvoir le joindre en cas d'urgence. S'agissant de sa disparition, elle a d'abord déclaré ne pas l'avoir revu depuis 2003 (cf. pv audition CEP p. 2 et pv audition cantonale p. 6 et 8), avant d'affirmer l'avoir vu pour la dernière fois en septembre 2004 (cf. pv audition fédérale p. 3 et 6). Invitée à préciser si elle l'avait cherché et la manière dont elle s'y était prise, elle n'a pas fourni de réponse claire (cf. pv audition cantonale p. 6 et pv audition fédérale p. 6). Il n'est pas non plus crédible que le I._______ n'ait effectué de son côté aucune recherche, si son époux occupait réellement une position élevée au sein de ce parti. Concernant son arrestation, la recourante a indiqué avoir été arrêtée tantôt en mai 2004 (cf. pv audition CEP p. 4, où elle a également précisé s'être évadée en septembre 2004; cf. également pv audition cantonale p. 17), tantôt en septembre 2004 (cf. pv audition fédérale p. 7 et 8, où elle a déclaré avoir été arrêtée le 19 septembre 2004 et s'être enfuie le 8 janvier 2005). En outre, lors de sa seconde audition, elle a déclaré que la soeur de son époux avait également été arrêtée (cf. pv audition cantonale p. 7), alors que lors de sa troisième audition, elle a affirmé que les policiers s'étaient contentés de la frapper à son domicile, mais ne l'avaient pas arrêtée (cf. pv audition fédérale p. 9). Les circonstances exactes de son évasion ne sont pas non plus très précises, l'intéressée s'étant contentée d'indiquer qu'un ami de son mari l'avait aidée à s'enfuir, avec la complicité d'un gardien. Sur ce point, elle s'est contredite, affirmant tantôt que celui-ci lui avait rendu visite régulièrement en prison (cf. pv audition CEP p. 5 et pv audition cantonale p. 18), tantôt qu'elle ne l'avait jamais vu auparavant (cf. pv audition fédérale p. 9). Lors de sa première audition, elle a également affirmé avoir subi des mauvais traitements juste avant qu'il vienne la chercher (cf. pv audition CEP p. 5), alors qu'elle a par la suite déclaré que ce n'était pas le cas (cf. pv audition cantonale p. 16 et pv audition fédérale p. 8). Invitée à donner le nom de cet ami, elle a d'abord refusé de répondre, celui-ci lui ayant demandé de ne pas le révéler (cf. pv audition CEP p. 5), avant de déclarer qu'elle ne s'en rappelait pas (cf. pv audition cantonale p. 6). Enfin, l'intéressée a déclaré qu'il lui avait révélé que son époux se trouvait en Suisse (cf. pv audition CEP p. 4 et pv audition cantonale p. 7). Or, une fois sortie de prison, elle ne lui aurait posé aucune question au sujet de celui-ci, pas plus qu'elle n'aurait effectué de recherches à son arrivée en Suisse (cf. pv audition CEP p. 5, où elle a dit : "On n'a pas beaucoup parlé de lui, car c'était mon problème qui était très important"; cf. également pv audition cantonale p. 8, où, aux questions de savoir comment l'ami de son mari avait appris qu'il se trouvait en Suisse et s'il lui avait précisé un nom de ville, elle a simplement répondu : "Je ne connais pas"). Une telle réaction n'est pas du tout plausible de la part d'une femme qui aurait cherché en vain son époux durant plusieurs mois et qui aurait été emprisonnée à cause de lui. Certes, la recourante a produit des rapports médicaux dont il ressort qu'elle souffre d'un état de stress post-traumatique et présente des "cicatrices multiples compatibles avec des séquelles de coups". Cependant, rien ne permet d'admettre que le traumatisme et les "coups" dont il est question seraient la conséquence des événements qu'elle a décrits. Dans son recours, A._______ a également expliqué que ses déclarations divergentes étaient dues au traumatisme qu'elle avait subi, au fait qu'elle était analphabète et à l'écart de presque deux ans entre son audition cantonale et son audition fédérale. Toutefois, les éléments d'invraisemblance relevés ci-dessus sont si nombreux et si importants qu'ils ne sauraient se satisfaire d'une telle explication. Au demeurant, il convient de relever que les renseignements fournis par l'Ambassade de Suisse à Yaoundé ne font que conforter le Tribunal dans son appréciation. En effet, selon le rapport du 14 juillet 2010, K._______ n'est pas le secrétaire particulier de J._______, contrairement à ce qu'a affirmé l'intéressée. De plus, il est improbable, ainsi que l'a observé la représentation suisse, que celle-ci aie été arrêtée à la place de son mari, la responsabilité pénale étant individuelle. Dans sa détermination du 12 août 2010, la recourante n'a apporté aucun élément ou moyen de preuve susceptible de remettre en cause le résultat des recherches de l'ambassade, se contentant de réaffirmer qu'elle n'était pas au courant des activités politiques de son époux. Les extraits de rapports cités dans le courrier du 12 août 2010 et le rapport de l'OSAR du 9 septembre 2010 (s'agissant des condition de détention dans la prison de [...]) n'ont quant à eux aucune valeur probante, dès lors qu'ils ne se rapportent pas directement à sa situation personnelle. Au vu de ce qui précède, l'intéressée ne saurait se prévaloir d'une crainte fondée de futures persécutions de la part des autorités camerounaises. A cet égard, il sied de constater qu'elle n'a pas établi ni même allégué qu'elle serait recherchée dans son pays, à la suite de son évasion.</w:t>
      </w:r>
    </w:p>
    <w:p>
      <w:r>
        <w:rPr>
          <w:b/>
        </w:rPr>
        <w:t>E. 3.2</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 anciennement citée à l'art. 44 al. 2 LAsi. Aux termes de l'al. 1 des dispositions transitoires relatives à la modification de la LEtr du 16 décembre 2005, les procédures pendantes à l'entrée en vigueur de la modification de ladite loi sont régies par le nouveau droit.</w:t>
      </w:r>
    </w:p>
    <w:p>
      <w:r>
        <w:rPr>
          <w:b/>
        </w:rPr>
        <w:t>E. 6.1</w:t>
      </w:r>
    </w:p>
    <w:p>
      <w:r>
        <w:t>A titre préliminaire, il convient de noter que les trois conditions posées par l'art. 83 al. 2 à 4 LEtr, empêchant l'exécution du renvoi (illicéité, inexigibilité ou impossibilité) sont de nature alternative : il suffit que l'une d'elles soit réalisée pour que le renvoi soit inexécutable (cf. ATAF 2009/51 consid. 5.4 ; Jurisprudence et informations de la Commission suisse de recours en matière d'asile [JICRA] 2006 n° 6 consid. 4.2 p. 54s.). En l'occurrence, c'est sur la question de l'exigibilité de l'exécution du renvoi que l'autorité de céans portera son examen.</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6.3</w:t>
      </w:r>
    </w:p>
    <w:p>
      <w:r>
        <w:t>En l'espèce, il ressort des rapports médicaux des 16 et 17 mars 2010 (cf. supra let. H) que A._______, qui est suivie depuis 2006 pour un état de stress post-traumatique chronique, un trouble dépressif récurrent (épisode actuel moyen), un trouble psychotique aigu et transitoire avec facteur de stress aigu associé, des épisodes dissociatifs fréquents, des cervicalgies, des dorso-lombalgies et des céphalées de tension, bénéficie d'un traitement médicamenteux et d'une prise en charge psychothérapeutique. Par ailleurs, elle a présenté à deux reprises des lésions pré-cancéreuses du col de l'utérus, qui ont dû être traitées chirurgicalement. De ce fait, un suivi régulier en gynécologie et obstétrique est indispensable. Entre 2006 et 2009, son état de santé a été très fluctuant, avec d'intenses périodes de recrudescence de la symptomatologie de stress post-traumatique, aboutissant à un repli sur elle-même, des périodes d'isolement et de retrait social. Elle a très mal vécu la nouvelle de sa grossesse - non prévue - en août 2008. L'avis d'expulsion de son compagnon, début 2009, a conduit à une menace d'accouchement prématuré, ce qui a nécessité une hospitalisation en unité mixte somatique - psychiatrique. Après son accouchement, il y a eu une recrudescence massive de son état dépressif, en raison notamment de l'arrêt de son traitement psychotrope, avec envies suicidaires sans plan défini, ayant nécessité des visites à domicile rapprochées durant l'été 2009. Une discrète amélioration de son état psychique a été constatée avec la réintroduction du traitement antidépresseur, mais le départ, en octobre 2009, du médecin qui la suivait depuis 2006, a provoqué une rupture thérapeutique majeure. Au mois de janvier 2010, une décompensation anxieuse et l'apparition d'idées suicidaires ont nécessité son hospitalisation en milieu psychiatrique. Un nouveau traitement médicamenteux a été instauré et elle a été adressée au Service de psychiatrie adulte des HUG, où un contrat de non passage à l'acte a été établi. Son état psychique s'est dans un premier temps légèrement amélioré, avant de régresser à la suite d'un conflit de couple, entraînant de nouvelles idées suicidaires. Depuis le mois de mars 2010, l'intéressée bénéficie à nouveau d'une prise en charge psychothérapeutique. Ce suivi, de même que le traitement médicamenteux mis en place, devront être poursuivis sur une longue durée, au vu de la nature chronique des pathologies dont elle souffre. L'évolution de celles-ci dépend notamment des nombreux facteurs extérieurs, tels que l'entourage psycho-affectif, la stabilisation administrative, etc.. Une interruption des traitements instaurés entraînerait une aggravation de son état dépressif et de son état de stress, avec risque majeur de passage à l'acte suicidaire.</w:t>
      </w:r>
    </w:p>
    <w:p>
      <w:r>
        <w:rPr>
          <w:b/>
        </w:rPr>
        <w:t>E. 6.4</w:t>
      </w:r>
    </w:p>
    <w:p>
      <w:r>
        <w:t>Au vu de ce qui précède, il est impératif pour la recourante de pouvoir bénéficier d'un suivi psychothérapeutique et d'un traitement médicamenteux réguliers et de longue durée. Or, s'il semble que le Cameroun dispose d'infrastructures médicales aptes à prendre en charge les pathologies dont souffre l'intéressée, les chances que celle-ci soit en mesure d'assurer le financement de ses traitements n'apparaissent pas établies. En effet, il n'existe officiellement pas de système d'assurance-maladie au Cameroun, à l'exception de certaines entreprises privées qui prennent en charge les frais de maladie des leurs employés. Les patients doivent ainsi, pour la plupart, payer eux-même leurs frais de traitement (cf. notamment Alexandra Geiser, Organisation suisse d'aide aux réfugiés [OSAR], Kamerun : Psychiatrische Versorgung, Berne, 9 septembre 2010). A cela s'ajoute que la recourante, qui est en Suisse depuis plus de 5 ans, rencontrera probablement des problèmes de réintégration, qui risquent de rendre plus difficile la poursuite de son traitement. Au vu des troubles psychiques dont elle souffre et du fait qu'elle n'a aucune formation professionnelle, elle ne sera manifestement pas en mesure de trouver un emploi à court terme lui permettant non seulement de subvenir à ses besoins vitaux et à ceux de sa fille, âgée de seulement une année, ni de financer les soins dont elle a impérativement besoin. De plus, s'il ressort du dossier qu'elle dispose au Cameroun d'un réseau familial, composé à tout le moins de ses parents et de sa soeur, rien ne permet toutefois d'admettre que ceux-ci seraient en mesure de lui apporter un quelconque aide financière. Enfin, l'aide financière au retour qu'elle pourrait recevoir de la part de la Confédération pour assurer ses frais médicaux (art. 93 al. 1 let. d LAsi), qui est limitée dans le temps (art. 75 al. 1 de l'ordonnance 2 sur l'asile relative au financement [OA 2; RS 142.312]), ne saurait suffire.</w:t>
      </w:r>
    </w:p>
    <w:p>
      <w:r>
        <w:rPr>
          <w:b/>
        </w:rPr>
        <w:t>E. 6.5</w:t>
      </w:r>
    </w:p>
    <w:p>
      <w:r>
        <w:t>Certes, le compagnon de la recourante et père de sa fille est un ressortissant de Côte d'Ivoire. Toutefois, aucun élément du dossier ne permet de considérer que l'exécution du renvoi de l'intéressée pourrait être prononcée vers ce pays, ce d'autant moins qu'ils ne semblent pas faire ménage commun.</w:t>
      </w:r>
    </w:p>
    <w:p>
      <w:r>
        <w:rPr>
          <w:b/>
        </w:rPr>
        <w:t>E. 6.6</w:t>
      </w:r>
    </w:p>
    <w:p>
      <w:r>
        <w:t>Dans ces conditions, il y a lieu d'admettre que l'exécution du renvoi de A._______, étant de nature à la mettre concrètement en danger, n'est pas raisonnablement exigible en l'état. Il convient donc de la mettre au bénéfice de l'admission provisoire, aucune exception tirée de l'art. 83 al. 7 LEtr ne lui étant opposable au regard des pièces figurant au dossier.</w:t>
      </w:r>
    </w:p>
    <w:p>
      <w:r>
        <w:rPr>
          <w:b/>
        </w:rPr>
        <w:t>E. 6.7</w:t>
      </w:r>
    </w:p>
    <w:p>
      <w:r>
        <w:t>S'agissant de B._______, âgée de une année et demie, la question de savoir si l'exécution de son renvoi est raisonnablement exigible peut être laissée indécise. En effet, sa mère ayant obtenu l'admission provisoire, elle peut également être mise au bénéfice de cette mesure, en application du principe de l'unité de la famille (art. 44 al. 1 LAsi).</w:t>
      </w:r>
    </w:p>
    <w:p>
      <w:r>
        <w:rPr>
          <w:b/>
        </w:rPr>
        <w:t>E. 7</w:t>
      </w:r>
    </w:p>
    <w:p>
      <w:r>
        <w:t>Compte tenu de ce qui précède, le recours doit être admis et la décision attaquée annulée en ce qui concerne l'exécution du renvoi.</w:t>
      </w:r>
    </w:p>
    <w:p>
      <w:r>
        <w:rPr>
          <w:b/>
        </w:rPr>
        <w:t>E. 8.1</w:t>
      </w:r>
    </w:p>
    <w:p>
      <w:r>
        <w:t>La demande d'assistance judiciaire partielle ayant été admise par décision incidente du 12 juin 2007, il n'y a pas lieu de percevoir de frais de procédure (art. 63 al. 1 PA), même si le recours est rejeté en tant qu'il porte sur la reconnaissance de la qualité de réfugié et l'octroi de l'asile.</w:t>
      </w:r>
    </w:p>
    <w:p>
      <w:r>
        <w:rPr>
          <w:b/>
        </w:rPr>
        <w:t>E. 8.2</w:t>
      </w:r>
    </w:p>
    <w:p>
      <w:r>
        <w:t>Conformément à l'art. 7 al. 1 du règlement du 21 février 2008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w:t>
      </w:r>
    </w:p>
    <w:p>
      <w:r>
        <w:rPr>
          <w:b/>
        </w:rPr>
        <w:t>E. 8.3</w:t>
      </w:r>
    </w:p>
    <w:p>
      <w:r>
        <w:t>Dans le cas de la recourante, qui a eu partiellement gain de cause, il y a lieu de lui attribuer des dépens réduits. Compte tenu de la note de frais du 30 mai 2007, du travail accompli par la suite, du degré de complexité de la cause et du tarif horaire retenu par le Tribunal pour les mandataires professionnels n'exerçant pas la profession d'avocat (cf. art. 10 al. 2 FITAF), l'indemnité due à la recourante à titre de dépens est fixée ex aequo et bono à Fr. 400.--.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