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D-3730/2012 vom 3. September 2012</w:t>
      </w:r>
    </w:p>
    <w:p>
      <w:r>
        <w:t>Bundesverwaltungsgericht, 2012-09-03, DE</w:t>
      </w:r>
    </w:p>
    <w:p>
      <w:r>
        <w:rPr>
          <w:b/>
        </w:rPr>
        <w:t xml:space="preserve">Quelle: </w:t>
      </w:r>
      <w:r>
        <w:t>https://mcp.opencaselaw.ch/entscheid/bvger_D-3730_2012</w:t>
      </w:r>
    </w:p>
    <w:p>
      <w:r>
        <w:t>FR: TAF D-3730/2012 du 3 septembre 2012</w:t>
      </w:r>
    </w:p>
    <w:p>
      <w:r>
        <w:t>IT: TAF D-3730/2012 del 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am (...) geborene Tochter D._______ wird in das vorliegende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5.1</w:t>
      </w:r>
    </w:p>
    <w:p>
      <w:r>
        <w:t>Zur Begründung seines ablehnenden Asylentscheids führt das BFM bezüglich der Vorbringen der Beschwerdeführenden, sie würden ständig diskriminiert und hätten als Angehörige der Roma in Mazedonien keine Rechte beziehungsweise könnten diese nicht durchsetzen, aus, dass diese Schwierigkeiten als Ausdruck der in Mazedonien nach wie vor erschwerten sozialen Lebensbedingungen zu werten seien und eine Vielzahl von Menschen darunter zu leiden habe. Die Beschwerdeführenden seien davon nicht mehr betroffen als die übrige, der Volksgruppe der Roma angehörende Bevölkerung, so dass die diesbezüglichen Vorbringen keine asylrechtlich relevante Gefährdung im Sinne von Art. 3 AsylG darstellten. Hinsichtlich des Vorbringens der Beschwerdeführenden, sie seien Übergriffen durch Albaner schutzlos ausgeliefert, da die Polizeibehörden nicht den notwendigen Schutz böten, führt das BFM aus, dass vereinzelte Übergriffe und Schikanen gengenüber Angehörigen der Volks­gruppe der Roma nicht restlos ausgeschlossen werden könnten. Der mazedonische Staat billige oder unterstütze solche Übergriffe durch Drittpersonen allerdings nicht. Solche Vorfälle stellten auch in Mazedonien Straftatbestände dar, die strafrechtlich verfolgt würden. Es könne zwar in einzelnen Fällen vorkommen, dass Behördenvertreter mit niederen Chargen die notwendigen Untersuchungsmassnahmen trotzt wiederholten Intervenierens nicht einleiten würden. Es bestehe jedoch die Möglichkeit, gegen fehlbare Beamte auf dem Rechtsweg vorzugehen und die zustehenden Rechte bei höheren Instanzen einzufordern. Der mazedonische Staat sei bestrebt, Verfehlungen von Beamten zu ahnden. Den Beschwerdeführenden sei es folglich möglich und zumutbar, sich wiederholt und mit Nachdruck an die mazedonischen Behörden zu wenden und um Schutz vor Übergriffen nachzusuchen. Allenfalls sei eine Untätigkeit einzelner Beamten - nötigenfalls mit Hilfe eines Rechtsanwaltes - bei den vorgesetzten Stellen zu rügen. Die Vorbringen der Beschwerdeführenden hielten somit den Anforderungen an die Flüchtlingseigenschaft gemäss Art. 3 AsylG nicht stand.</w:t>
      </w:r>
    </w:p>
    <w:p>
      <w:r>
        <w:rPr>
          <w:b/>
        </w:rPr>
        <w:t>E. 5.2</w:t>
      </w:r>
    </w:p>
    <w:p>
      <w:r>
        <w:t>In der Beschwerde wird im Wesentlichen noch einmal darauf hingewiesen, dass die Beschwerdeführenden als Angehörige der Roma in Mazedonien diskriminiert und schikaniert würden. Dem Beschwerdeführer sei beispielsweise das Recht auf Ausbildung beziehungsweise auf den Erwerb eines Berufes seitens der Behörden verwehrt worden. Als Angehörige der Roma würden sie zudem vergeblich die erfolgten Übergriffe durch Albaner bei den Behörden anzeigen, da meist Angehörige der albanischen Bevölkerung die Entscheidungspositionen innehätten und somit keine Hilfe zu erwarten sei. Mit Hinweis auf den Kosovo und auf begangene Morde durch Albaner in Mazedonien wird in der Beschwerde des Weiteren ausgeführt, dass die albanische Bevölkerung systematisch Druck, verbunden mit brutalster Gewalt an der nichtalbanischen Bevölkerung ausüben würde. Es könne unter diesen Umständen nicht bloss von erschwerten sozialen Lebensbedingungen ausgegangen werden.</w:t>
      </w:r>
    </w:p>
    <w:p>
      <w:r>
        <w:rPr>
          <w:b/>
        </w:rPr>
        <w:t>E. 5.3</w:t>
      </w:r>
    </w:p>
    <w:p>
      <w:r>
        <w:t>Nach Prüfung der Akten durch das Gericht ist - in Übereinstimmung mit der Vorinstanz - festzustellen, dass die Vorbringen der Beschwerdeführenden den Anforderungen an die Flüchtlingseigenschaft gemäss Art. 3 AsylG nicht standzuhalten vermögen. Es ist insbesondere zu berücksichtigen, dass der Bundesrat Mazedonien mit Beschluss vom 25. Juni 2003 zum verfolgungssicheren Staat ("Safe Country") erklärt hat und von dieser Einschätzung im Rahmen der periodischen Prüfung bisher nicht abgewichen ist (vgl. Art. 6a Abs. 2 Bst. a und Abs. 3 AsylG). Die Bezeichnung eines Landes als "Safe Country" beinhaltet die Regelvermutung, dass asylrelevante staatliche Verfolgung nicht stattfinde und Schutz vor nichtstaatlicher Verfolgung gewährleistet sei. Sämtliche Vorbringen der Beschwerdeführenden vermögen diese Vermutung nicht umzustossen. Die geltend gemachte ständige Diskriminierung durch die Behörden und die Übergriffe seitens der albanischen Bevölkerung erreichen kein ausreichend intensives Ausmass, um als Hinweis für eine Verfolgung gelten zu können. Dies wird auch dadurch bestätigt, dass es die Beschwerdeführenden über Jahre hinweg und insbesondere unmittelbar nach den letzten zwei Übergriffen auf den Beschwerdeführer nicht als notwendig erachteten, ihren Heimatstaat zu verlassen und die (...) in G._______ gestellten Asylbegehren zurückzogen und nach Mazedonien zurückkehrten. Entgegen den Behauptungen der Beschwerdeführenden ist zudem davon auszugehen, dass sie sich zumindest unter Umgehung der Polizeibehörden und Beschreitung des rechtsstaatlich installierten Instanzenzuges gegen erfolgte Übergriffe durch Albanern zur Wehr setzten könnten. Im Übrigen ist auf die zutreffenden vorinstanzlichen Erwägungen zu verweisen (vgl. E. 5.1 vorstehend). Die Beschwerdevorbringen sind nicht geeignet, eine Änderung der vorinstanzlichen Verfügung zu bewirken. Das Vorbringen des Beschwerdeführers, das Recht auf Ausbildung beziehungsweise auf Erwerb eines Berufes sei ihm verwehrt worden, ist unbeachtlich, da ihm eine wirtschaftliche Existenz nicht verunmöglicht wurde. Die übrigen Beschwerdevorbringen stellen zudem lediglich die Ansicht der Beschwerdeführenden zur aktuellen Situation in Mazedonien dar, ohne konkrete persönliche Bezugnahme und sind daher nicht geeignet, die vorinstanzlichen Erwägungen zu entkräften.</w:t>
      </w:r>
    </w:p>
    <w:p>
      <w:r>
        <w:rPr>
          <w:b/>
        </w:rPr>
        <w:t>E. 5.4</w:t>
      </w:r>
    </w:p>
    <w:p>
      <w:r>
        <w:t>Zusammenfassend ist festzustellen, dass das BFM die Flüchtlingseigenschaft der Beschwerdeführenden zu Recht verneint und deren Asylgesuche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mit Hinweis auf Entscheidungen und Mitteilun­gen der [vormaligen]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Da die Beschwerdeführenden die Flüchtlingseigenschaft nicht erfüllen,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Mazedonien lässt den Wegweisungsvollzug zum heutigen Zeitpunkt nicht als unzulässig erscheinen. Nach dem Gesagten ist der Vollzug der Wegweisung sowohl im Sinne der asyl- als auch der völkerrechtlichen Bestimmungen zulässig. 7.2.1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7.2.2 Vorab ist festzustellen, dass die allgemeine Lage in Mazedonien nicht auf eine konkrete Gefährdung der Beschwerdeführenden im Falle einer Rückkehr schliessen lässt. Zweifellos sind die Lebensbedingungen für ethnische Roma in Mazedonien schwierig. Es kann nicht ausgeschlossen werden, dass Angehörige dieser ethnischen Minderheit in verschiedener Hinsicht benachteiligt werden. Die möglichen generellen Benachteiligungen erreichen indessen nicht ein Ausmass, das den Vollzug der Wegweisung allgemein als unzumutbar erscheinen lässt. Den Akten sind sodann keine Anhaltspunkte dafür zu entnehmen, dass die Beschwerdeführenden bei einer Rückkehr nach Mazedonien aus individuellen Gründen wirtschaftlicher oder sozialer Natur in eine existenzbedrohende Situation geraten würden. Das BFM hat in der angefochtenen Verfügung zu Recht darauf hingewiesen, dass sie in Mazedonien sowohl über ein tragfähiges Beziehungsnetz als auch auf eine gesicherte Wohnsituation zurückgreifen können. Zudem darf davon ausgegangen werden, dass der Beschwerdeführer - wie zuvor - im Stande sein wird, den Lebensunterhalt für sich und seien Familie zu bestreiten. 7.2.3 7.2.3.1 In Bezug auf die Beurteilung der Zumutbarkeit des Wegweisungsvollzugs ist vorliegend allerdings noch der Gesundheitszustand von C._______ zu beachten. Dabei ist darauf hinzuweisen, dass aufgrund ge­sundheitlicher Probleme nur dann auf die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2009/2, EMARK 2003 Nr. 24 E. 5a und b). 7.2.3.2 Dem Verlaufsbericht (...) vom 26. Juli 2012 betreffend C._______ ist unter anderem zu entnehmen, dass bei ihr eine posttraumatische Belastungsstörung (ICD-10 F43.1) und eine emotionale Störung mit Trennungsangst des Kindesalters (ICD-10 F93.0) diagnostiziert wurde. 7.2.3.3 Nach Erkenntnissen des Bundesverwaltungsgerichtes - und mit Verweis auf einen entsprechenden Hinweis in der Eingabe der Beschwerdeführenden vom 10. August 2012 - steht in E._______ die Infrastruktur einer psychotherapeutischen Behandlung von psychischen Erkrankungen zur Verfügung. Hinsichtlich des Vorbringens der Beschwerdeführenden in der genannten Eingabe, sie könnten die Behandlung nicht bezahlen und seien auch nicht krankenversichert, ist darauf hinzuweisen, dass in Mazedonien eine obligatorische Krankenversicherung existiert, welche namentlich auch nicht versicherte Kinder deckt (vgl. Urteil des Bundesverwaltungsgerichts E-3793/2011 vom 22. August 2011 E. 7.4.2., mit weiteren Hinweisen). Zudem steht es den Beschwerdeführenden offen, beim BFM einen Antrag auf medizinische Rückkehrhilfe zu stellen. Es ist folglich davon auszugehen, dass die Beschwerdeführenden die psychische Erkrankung ihrer Tochter C._______ auch in Mazedonien entsprechend behandeln lassen können. Nach dem Gesagten erweist sich der Vollzug der Wegweisung auch als zumutbar.</w:t>
      </w:r>
    </w:p>
    <w:p>
      <w:r>
        <w:rPr>
          <w:b/>
        </w:rPr>
        <w:t>E. 7.3</w:t>
      </w:r>
    </w:p>
    <w:p>
      <w:r>
        <w:t>Schliesslich obliegt es den Beschwerdeführenden, welche selbst über gültige Reisepässe verfügen, sich bei der zuständigen Vertretung des Heimatstaates die für eine Rückkehr notwendigen Reisedokumente für ihre Tochter D._______ zu beschaffen (vgl. Art. 8 Abs. 4 AsylG), weshalb der Vollzug der Wegweisung auch als möglich zu bezeichnen ist (Art. 83 Abs. 2 AuG).</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Sie sind auf insgesamt Fr. 600.-- festzusetzen (Art. 1 - 3 des Reglements vom 21. Februar 2008 über die Kosten und Entschädigungen vor dem Bundesverwaltungsgericht [VGKE, SR 173.320.2]) und mit dem am 6.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