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D-372/2024 vom 18. Dezember 2023</w:t>
      </w:r>
    </w:p>
    <w:p>
      <w:r>
        <w:t>Bundesverwaltungsgericht, 2023-12-18, DE</w:t>
      </w:r>
    </w:p>
    <w:p>
      <w:r>
        <w:rPr>
          <w:b/>
        </w:rPr>
        <w:t xml:space="preserve">Quelle: </w:t>
      </w:r>
      <w:r>
        <w:t>https://mcp.opencaselaw.ch/entscheid/bvger_D-372_2024_d20231218</w:t>
      </w:r>
    </w:p>
    <w:p>
      <w:r>
        <w:t>FR: TAF D-372/2024 du 18 décembre 2023</w:t>
      </w:r>
    </w:p>
    <w:p>
      <w:r>
        <w:t>IT: TAF D-372/2024 del 18 dicembre 2023</w:t>
      </w:r>
    </w:p>
    <w:p>
      <w:pPr>
        <w:pStyle w:val="Heading2"/>
      </w:pPr>
      <w:r>
        <w:t>Regeste</w:t>
      </w:r>
    </w:p>
    <w:p>
      <w:r>
        <w:t>Vollzug der Wegweisung (Art. 40 i.V.m. Art. 6a Abs. 2 AsylG) | Vollzug der Wegweisung (Art. 40 i.V.m. Art. 6a Abs. 2 AsylG); Verfügung des SEM vom 18. Dezember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SEM gehört zu den Behörden nach Art. 33 VGG und ist daher eine Vorinstanz des Bundesverwaltungsge- 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 chens des Staates, vor welchem die beschwerdeführende Person Schutz sucht (Art. 105 AsylG, Art. 83 Bst. d Ziff. 1 BGG). Eine solche Ausnahme im Sinne von Art. 83 Bst. d Ziff. 1 BGG liegt nicht vor, weshalb das Bun- desverwaltungsgericht endgültig entscheidet.</w:t>
      </w:r>
    </w:p>
    <w:p>
      <w:r>
        <w:rPr>
          <w:b/>
        </w:rPr>
        <w:t>E. 1.2</w:t>
      </w:r>
    </w:p>
    <w:p>
      <w:r>
        <w:t>Das Verfahren richtet sich nach dem VwVG, dem VGG und dem BGG, soweit das AsylG nichts anderes bestimmt (Art. 37 VGG und Art. 6 AsylG).</w:t>
      </w:r>
    </w:p>
    <w:p>
      <w:r>
        <w:t>D-372/2024 Seite 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w:t>
      </w:r>
    </w:p>
    <w:p>
      <w:r>
        <w:t>Die Beschwerde vom 16. Januar 2024 richtete sich ausschliesslich gegen den angeordneten Vollzug der Wegweisung (vgl. Bst. G). Die Dispositivzif- fern 1 und 2 der vorinstanzlichen Verfügung vom 18. Dezember 2023 res- pektive die Feststellung der Flüchtlingseigenschaft und die Gewährung von Asyl sind nicht angefochten und somit in Rechtskraft erwachsen.</w:t>
      </w:r>
    </w:p>
    <w:p>
      <w:r>
        <w:rPr>
          <w:b/>
        </w:rPr>
        <w:t>E. 5.1</w:t>
      </w:r>
    </w:p>
    <w:p>
      <w:r>
        <w:t>Die Beschwerdeführerin beantragte eventualiter die Rückweisung der Sache an die Vorinstanz, da das rechtliche Gehör, der Untersuchungs- grundsatz und die Begründungspflicht verletzt seien. Die erhobenen for- mellen Rügen sind zuerst zu behandeln, da sie allenfalls geeignet sind, eine Kassation der vorinstanzlichen Verfügung zu bewirken (vgl. BVGE 2013/34 E. 4.2).</w:t>
      </w:r>
    </w:p>
    <w:p>
      <w:r>
        <w:rPr>
          <w:b/>
        </w:rPr>
        <w:t>E. 5.2.1</w:t>
      </w:r>
    </w:p>
    <w:p>
      <w:r>
        <w:t>Die unrichtige oder unvollständige Feststellung des rechtserhebli- chen Sachverhalts in Verletzung der behördlichen Untersuchungspflicht bildet einen Beschwerdegrund (Art. 106 Abs. 1 Bst. b AsylG). Unrichtig ist</w:t>
      </w:r>
    </w:p>
    <w:p>
      <w:r>
        <w:t>D-372/2024 Seite 6 die Sachverhaltsfeststellung dann, wenn der Verfügung ein falscher und aktenwidriger Sachverhalt zugrunde gelegt wird oder Beweise falsch ge- würdigt worden sind; unvollständig ist die Sachverhaltsdarstellung, wenn nicht alle für den Entscheid rechtswesentlichen Sachumstände berücksich- tigt werden (vgl. KÖLZ/HÄNER/BERTSCHI, Verwaltungsverfahren und Ver- waltungsrechtspflege des Bundes, 3. Aufl. 2013, Rz. 1043).</w:t>
      </w:r>
    </w:p>
    <w:p>
      <w:r>
        <w:rPr>
          <w:b/>
        </w:rPr>
        <w:t>E. 5.2.2</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(BVGE 2015/10 E. 3.3 m.w.H.).</w:t>
      </w:r>
    </w:p>
    <w:p>
      <w:r>
        <w:rPr>
          <w:b/>
        </w:rPr>
        <w:t>E. 5.2.3</w:t>
      </w:r>
    </w:p>
    <w:p>
      <w:r>
        <w:t>Die Begründungspflicht, welche sich aus dem Anspruch auf rechtli- ches Gehör gemäss Art. 29 VwVG ergibt, verlangt, dass die Behörde ihren Entscheid so begründet, dass die betroffene Person ihn gegebenenfalls sachgerecht anfechten kann und sich sowohl sie als auch die Rechtsmit- 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5.3</w:t>
      </w:r>
    </w:p>
    <w:p>
      <w:r>
        <w:t>Die Rüge der Beschwerdeführerin, die Vorinstanz habe den Untersu- chungsgrundsatz verletzt, da sie keine einzelfallspezifischen Abklärungen zur Behandlung ihrer chronischen (…) in Nordmazedonien durchgeführt habe, erweist sich als verfehlt. Die Vorinstanz hat sich in ihrer Verfügung ausführlich zum nordmazedonischen Gesundheitswesen geäussert und zwei Universitätskliniken in C._______ aufgeführt, die der Beschwerdefüh- rerin zugänglich sind und welche über Abteilungen verfügen, welche die von ihr benötigten Behandlungen anbieten. Hierzu hat die Vorinstanz die Beweismittel zur medizinischen Situation der Beschwerdeführerin beigezo- gen (vgl. SEM-Akten A17/21, A20/4, A24/11, A26/11, A29/10, A30/27, A21/10, A32/9, A34/4, A36/34, A38/23, A39/25) und auch hinreichend</w:t>
      </w:r>
    </w:p>
    <w:p>
      <w:r>
        <w:t>D-372/2024 Seite 7 begründet, weshalb sie zum Schluss gekommen ist, dass ein Vollzug der Wegweisung nach Nordmazedonien aufgrund der dargelegten medizini- schen Gründe zumutbar erscheine (vgl. SEM-Akte A40/10, S. 6f.).</w:t>
      </w:r>
    </w:p>
    <w:p>
      <w:r>
        <w:rPr>
          <w:b/>
        </w:rPr>
        <w:t>E. 5.4</w:t>
      </w:r>
    </w:p>
    <w:p>
      <w:r>
        <w:t>Die geltend gemachten formellen Rügen, der Sachverhalt sei in Bezug auf ihren Gesundheitszustand ungenügend abgeklärt sowie ungenügend begründet worden und das rechtliche Gehör sei dadurch verletzt, erweisen sich als unbegründet und sind deshalb abzuweisen.</w:t>
      </w:r>
    </w:p>
    <w:p>
      <w:r>
        <w:rPr>
          <w:b/>
        </w:rPr>
        <w:t>E. 6.1</w:t>
      </w:r>
    </w:p>
    <w:p>
      <w:r>
        <w:t>Die Vorinstanz wies im Zusammenhang mit der Frage der Zumutbarkeit des Vollzugs der Wegweisung zunächst darauf hin, dass der Bundesrat die ehemalige jugoslawische Republik Mazedonien (heute: Republik Nordma- zedonien) per 1. Januar 2018 als Staat bezeichnet habe, in welchen die Rückkehr in der Regel zumutbar sei. Es sei der Beschwerdeführerin nicht gelungen, diese Regelvermutung mittels konkreter und substanziierter Hin- weise umzustossen. Aus individueller Sicht spreche in ihrem Fall nichts ge- gen die Zumutbarkeit des Vollzugs der Wegweisung; sie verfüge über ge- nügend Berufserfahrung und über ein soziales Netz. Bezüglich ihrer medi- zinischen Vorbringen stellte die Vorinstanz fest, dass Nordmazedonien über eine medizinische Grundversorgung und eine obligatorische Kranken- versicherung verfüge, bei welcher rund 95% der nordmazedonischen Be- völkerung sowie auch rückkehrende Personen versichert seien. Die meis- ten Krankheiten könnten in ihrem Heimatstaat behandelt sowie Kosten für Medikamente, die auf einer staatlich geführten Liste figurierten, übernom- men werden. Zwar könnten komplexere, abteilungsübergreifende, teure Behandlungen von Langzeitpatienten und die Behandlung eher seltener Erkrankungen mit niedrigen Fallzahlen eine gewisse Herausforderung dar- stellen. Es existierten jedoch mehrere Spezialkliniken wie etwa die Univer- sitätsklinik für (…) oder die Universitätsklinik für (…) in C._______, welche ihr Krankheitsbild behandeln könnten. Dem aktuellsten Arztbericht zufolge bestehe zurzeit keine vitale Bedrohung ihres Gesundheitszustandes und es könne mit einer Amputation des (…) zugewartet werden. Aufgrund der Einschätzungen verschiedener Spezialisten sei auch nicht von der Unzu- mutbarkeit des Vollzugs der Wegweisung aus medizinischer Sicht auszu- gehen. Gemäss bundesverwaltungsgerichtlicher Rechtsprechung seien ihre psychischen Probleme ebenfalls in ihrem Heimatland behandelbar. Insgesamt sei in ihrem Fall keine medizinische Notlage ersichtlich und es liege keine ärztlich bescheinigte dauernde Reiseunfähigkeit oder eine akute Behandlungsindikation vor.</w:t>
      </w:r>
    </w:p>
    <w:p>
      <w:r>
        <w:t>D-372/2024 Seite 8</w:t>
      </w:r>
    </w:p>
    <w:p>
      <w:r>
        <w:rPr>
          <w:b/>
        </w:rPr>
        <w:t>E. 6.2</w:t>
      </w:r>
    </w:p>
    <w:p>
      <w:r>
        <w:t>In der Beschwerde wurde dem im Wesentlichen entgegengesetzt, dass die Beschwerdeführerin aufgrund ungenügender Behandlungsmöglichkei- ten ihr Heimatland verlassen und sich in der Schweiz habe behandeln las- sen. Bei ihrer jahrelangen chronischen (…) handle es sich um eine kom- plexe Krankheit, die abteilungsübergreifend, teuer und langwierig sei; sie benötige eine kontinuierliche und engmaschige Behandlung. Die Verfüg- barkeit einer adäquaten Behandlung sei in Nordmazedonien nicht garan- tiert. Für eine Therapie würden ihr auch die finanziellen Mittel fehlen, zumal sie vollumfänglich arbeitsunfähig sei. Entsprechend würde sie lediglich die (ungenügende) Behandlung öffentlicher Spitäler und Ärzte in Anspruch nehmen können. Ausserdem müsse sie bei einer Behandlung im Heimat- land mit einer Amputation rechnen. Eine in Nordmazedonien drohende Am- putation ihres (…) stelle – entgegen der vorinstanzlichen Argumentation – eindeutig ein schweres körperliches Leiden dar, sei entsprechend als me- dizinische Notlage zu qualifizieren und stehe der Zumutbarkeit des Voll- zugs der Wegweisung entgegen.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t>D-372/2024 Seite 9</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 nossenschaft vom 18. April 1999 (BV, SR 101), Art. 3 des Übereinkommens vom 10. Dezember 1984 gegen Folter und andere grausame, unmenschli- 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8.3.3</w:t>
      </w:r>
    </w:p>
    <w:p>
      <w:r>
        <w:t>Das Prinzip des flüchtlingsrechtlichen Non-Refoulement schützt nur Personen, die die Flüchtlingseigenschaft erfüllen. Da es der Beschwerde- führerin nicht gelungen ist, eine asylrechtlich erhebliche Gefährdung nach- zuweisen oder glaubhaft zu machen, kann der in Art. 5 AsylG verankerte Grundsatz der Nichtrückschiebung im vorliegenden Verfahren keine An- wendung finden. Eine Rückkehr der Beschwerdeführerin in ihren Heimat- staat Nordmazedonien ist demnach unter dem Aspekt von Art. 5 AsylG rechtmässig.</w:t>
      </w:r>
    </w:p>
    <w:p>
      <w:r>
        <w:rPr>
          <w:b/>
        </w:rPr>
        <w:t>E. 8.3.4</w:t>
      </w:r>
    </w:p>
    <w:p>
      <w:r>
        <w:t>Sodann sind keine Anhaltspunkte für eine in Nordmazedonien dro- hende menschenrechtswidrige Behandlung im Sinne von Art. 25 Abs. 3 BV und von Art. 3 FoK ersichtlich. Auch die allgemeine Menschenrechtssitua- tion in Nordmazedonien lässt den Wegweisungsvollzug zum heutigen Zeit- punkt nicht als unzulässig erscheinen. Der Vollzug der Wegweisung er- weist sich sowohl im Sinn der asyl- als auch der völkerrechtlichen Bestim- mungen als zulässig.</w:t>
      </w:r>
    </w:p>
    <w:p>
      <w:r>
        <w:t>D-372/2024 Seite 10</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Mit der vom Bundesrat als bezeichnetes «Safe Country» im Sinne von Art. 6a Abs. 2 Bst. a AsylG gilt eine Rückkehr abgewiesener Asylsu- chender nach Nordmazedonien grundsätzlich als zumutbar, da dort politi- sche Stabilität herrscht und die medizinische Grundversorgung gewährleis- tet ist (vgl. Art. 83 Abs. 5 AIG i.V.m. Art. 18 der Verordnung vom 11. August 1999 über den Vollzug der Weg- und Ausweisung sowie der Landesverwei- sung von ausländischen Personen [VVWAL, SR 142.281] sowie deren An- hang 2). Es obliegt der betroffenen Person, diese Regelvermutung gege- benenfalls mit substanziierten Gegenargumenten umzustossen (vgl. Urteil des BVGer D-51/2022 vom 8. März 2022 E. 6.3.2).</w:t>
      </w:r>
    </w:p>
    <w:p>
      <w:r>
        <w:rPr>
          <w:b/>
        </w:rPr>
        <w:t>E. 8.4.3</w:t>
      </w:r>
    </w:p>
    <w:p>
      <w:r>
        <w:t>Ausschliesslich medizinische Gründe lassen den Wegweisungsvoll- zug im Allgemeinen nicht als unzumutbar erscheinen, es sei denn, die er- forderliche Behandlung sei wesentlich und im Heimatland nicht erhältlich. Entsprechen die Behandlungsmöglichkeiten im Herkunftsland nicht dem medizinischen Standard in der Schweiz, bewirkt dies allein noch nicht die Unzumutbarkeit des Vollzugs. Von einer solchen ist erst dann auszugehen, wenn die ungenügende Möglichkeit der Weiterbehandlung eine drastische und lebensbedrohende Verschlechterung des Gesundheitszustands nach sich zieht (vgl. BVGE 2011/50 E. 8.3 und 2009/2 E. 9.3.2 je m.w.H.).</w:t>
      </w:r>
    </w:p>
    <w:p>
      <w:r>
        <w:rPr>
          <w:b/>
        </w:rPr>
        <w:t>E. 8.4.4</w:t>
      </w:r>
    </w:p>
    <w:p>
      <w:r>
        <w:t>Den dem Gericht vorliegenden Arztberichten zufolge leidet die Be- schwerdeführerin seit rund 25 Jahren an einer chronischen (…), welche sie bereits in ihrem Heimatland Nordmazedonien behandeln liess, bevor sie zu einer Behandlung (inklusive verschiedener Operationen) in die Schweiz einreiste. Weiter ist den zahlreichen Berichten zusammenfassend zu ent- nehmen, dass aktuell regelmässige klinische Verlaufskontrollen durchge- führt sowie die Verbände regelmässig gewechselt würden. Ausserdem sei eine Physiotherapie verordnet und entsprechendes (…) angefertigt wor- den. Es bedürfe einer fortlaufenden Betreuung in der Klinik für (…). Eine Zunahme ihrer (…) an ihrem rechten (…) sei zwar festgestellt worden, ihr Gesundheitszustand bleibe unverändert, mittelfristig sei – der Einschät- zung der schweizerischen Spezialisten zufolge – eine (…)amputation wohl</w:t>
      </w:r>
    </w:p>
    <w:p>
      <w:r>
        <w:t>D-372/2024 Seite 11 unausweichlich. Eine regelmässige Weiterführung ihrer Therapie (Wund- versorgung, Physiotherapie, allfällige Einnahme von Antibiotika) ist in Nordmazedonien ohne weiteres möglich: Den medizinischen Unterlagen der nordmazedonischen Ärzte zufolge, wonach ihr bereits vor ihrer Aus- reise zu einer Amputation geraten worden sei, erweist sich eine allfällige (…)amputation in Nordmazedonien ebenfalls als durchführbar. Eine medi- zinische Notlage oder eine lebensbedrohliche Situation, welche einer Rückkehr der Beschwerdeführerin in ihr Heimatland entgegenstehen wür- den, sind vorliegend nicht ersichtlich. In der Verfügung der Vorinstanz – auf welche vollumfänglich zu verweisen ist – werden die entsprechenden Kli- niken und Universitätsspitäler aufgeführt, die ihr Krankheitsbild behandeln können (vgl. SEM-Akten A36/34, A38/23; A39/25; A40/10, S. 6-7). Ferner geht auch aus dem aktuellsten Bericht vom 16. Januar 2024 nichts hervor, das auf eine medizinische Notlage im Sinne der Rechtsprechung hinwei- sen würde (vgl. auch SEM-Akte A40/10, S: 7, zweiter Abschnitt). Schliess- lich bleibt festzustellen, dass auch die erstmals am 6. November 2023 vor- gebrachte posttraumatische Belastungsstörung (PTBS), einhergehend mit einer mittelschweren Episode, ebenfalls in Nordmazedonien behandelbar ist und entsprechende Infrastrukturen sowie Medikamente zur Verfügung stehen (vgl. hierzu Urteil des BVGer E-7115/2018 E. 8.4.2.2 m.w.H.).</w:t>
      </w:r>
    </w:p>
    <w:p>
      <w:r>
        <w:rPr>
          <w:b/>
        </w:rPr>
        <w:t>E. 8.4.5</w:t>
      </w:r>
    </w:p>
    <w:p>
      <w:r>
        <w:t>Nach dem Gesagten muss vorliegend nicht auf eine konkrete Gefähr- dung in Form einer medizinischen Notlage im Sinn von Art. 83 Abs. 4 AIG geschlossen werden. Für eine medizinische Weiterbehandlung der Be- schwerdeführerin ist ferner auf die Möglichkeit einer individuellen medizini- schen Rückkehrhilfe zu verweisen (Art. 93 Abs. 1 Bst. d AsylG, Art. 75 der Asylverordnung 2 vom 11. August 1999 über Finanzierungsfragen [AsylV 2, SR 142.312]).</w:t>
      </w:r>
    </w:p>
    <w:p>
      <w:r>
        <w:rPr>
          <w:b/>
        </w:rPr>
        <w:t>E. 8.4.6</w:t>
      </w:r>
    </w:p>
    <w:p>
      <w:r>
        <w:t>Schliesslich lassen auch keine individuellen Gründe auf eine konkrete Gefährdung der Beschwerdeführerin in ihrem Heimatland schliessen. Als ausgebildete (…) mit einem Masterabschluss sowie mehrjähriger Berufserfahrung in der (…) und bei internationalen Organisationen wird es ihr – trotz ihrer Erkrankung und ihrer geltend gemachten, jedoch unbelegten Arbeitsunfähigkeit – möglich sein, erneut eine Anstellung zu finden und den Lebensunterhalt für sich und – sofern nötig – ihre in Ausbildung befindenden Tochter zu bestreiten sowie im Bedarfsfall auf die Unterstützung ihres familiären Netzes zurückzugreifen. Ausserdem ist sie auch international gut vernetzt (vgl. SEM-Akte A15/12, F18-23, F38).</w:t>
      </w:r>
    </w:p>
    <w:p>
      <w:r>
        <w:t>D-372/2024 Seite 12 Schliesslich gelang es ihr nicht, die Regelvermutung, wonach der Vollzug der Wegweisung nach Nordmazedonien gemäss Art. 83 Abs. 5 AIG i.V.m. Art. 18 VVWAL grundsätzlich zumutbar ist, umzustossen.</w:t>
      </w:r>
    </w:p>
    <w:p>
      <w:r>
        <w:rPr>
          <w:b/>
        </w:rPr>
        <w:t>E. 8.4.7</w:t>
      </w:r>
    </w:p>
    <w:p>
      <w:r>
        <w:t>Nach dem Gesagten erweist sich der Vollzug der Wegweisung auch als zumutbar.</w:t>
      </w:r>
    </w:p>
    <w:p>
      <w:r>
        <w:rPr>
          <w:b/>
        </w:rPr>
        <w:t>E. 8.5</w:t>
      </w:r>
    </w:p>
    <w:p>
      <w:r>
        <w:t>Die Beschwerdeführerin verfügt über einen gültigen heimatlichen Rei- sepass respektive eine Identitätskarte, weshalb der Vollzug der Wegwei- sung auch möglich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Die Beschwerde ist angesichts der vorstehenden Erwägungen als aussichtslos zu qualifizieren. Die Gesuche um Gewährung der unentgeltli- chen Prozessführung und um amtliche Rechtsverbeiständung im Sinne von Art. 102m AsylG sind deshalb ungeachtet der geltend gemachten – je- doch nicht belegten – prozessualen Bedürftigkeit abzuweisen.</w:t>
      </w:r>
    </w:p>
    <w:p>
      <w:r>
        <w:rPr>
          <w:b/>
        </w:rPr>
        <w:t>E. 10.2</w:t>
      </w:r>
    </w:p>
    <w:p>
      <w:r>
        <w:t>Bei diesem Ausgang des Verfahrens sind die Kosten der Beschwerde- führerin aufzuerlegen (Art. 63 Abs. 1 VwVG) und auf insgesamt Fr. 750.– festzusetzen (Art. 1–3 des Reglements vom 21. Februar 2008 über die Kosten und Entschädigungen vor dem Bundesverwaltungsgericht [VGKE, SR 173.320.2]).</w:t>
      </w:r>
    </w:p>
    <w:p>
      <w:r>
        <w:t>(Dispositiv nächste Seite)</w:t>
      </w:r>
    </w:p>
    <w:p>
      <w:r>
        <w:t>D-372/2024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