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D-372/2018 vom 29. Januar 2018</w:t>
      </w:r>
    </w:p>
    <w:p>
      <w:r>
        <w:t>Bundesverwaltungsgericht, 2018-01-29, DE</w:t>
      </w:r>
    </w:p>
    <w:p>
      <w:r>
        <w:rPr>
          <w:b/>
        </w:rPr>
        <w:t xml:space="preserve">Quelle: </w:t>
      </w:r>
      <w:r>
        <w:t>https://mcp.opencaselaw.ch/entscheid/bvger_D-372_2018</w:t>
      </w:r>
    </w:p>
    <w:p>
      <w:r>
        <w:t>FR: TAF D-372/2018 du 29 janvier 2018</w:t>
      </w:r>
    </w:p>
    <w:p>
      <w:r>
        <w:t>IT: TAF D-372/2018 del 29 gennaio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Vollständigkeit halber ist vorneweg anzumerken, dass die Beschwerdeführerin in ihrer Beschwerdeschrift vom 17. Januar 2018 die Aufhebung der angefochtenen Verfügung beantragt, was grundsätzlich auch die erstinstanzliche Kostenauflage umfasst. Die Beschwerdeschrift enthält indessen keine Ausführungen dazu, dass und weshalb diese Kostenauflage zu Unrecht erfolgt sein soll. Auf diese Thematik ist bei dieser Sachlage nicht weiter einzugehen.</w:t>
      </w:r>
    </w:p>
    <w:p>
      <w:r>
        <w:rPr>
          <w:b/>
        </w:rPr>
        <w:t>E. 4.1</w:t>
      </w:r>
    </w:p>
    <w:p>
      <w:r>
        <w:t>Über offensichtlich unbegründete Beschwerden wird in einzelrichterlicher Zuständigkeit mit Zustimmung eines zweiten Richters beziehungswiese einer zweiten Richterin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die Durchführung eines Schriftenwechsels verzichtet.</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(vgl. zum sog. "qualifizierten Wiedererwägungsgesuch" BVGE 2013/22 E. 5.4 m.w.H.).</w:t>
      </w:r>
    </w:p>
    <w:p>
      <w:r>
        <w:rPr>
          <w:b/>
        </w:rPr>
        <w:t>E. 5.3</w:t>
      </w:r>
    </w:p>
    <w:p>
      <w:r>
        <w:t>Nachdem die Vorinstanz den Anspruch der Beschwerdeführerin auf Behandlung ihres Wiedererwägungsgesuchs nicht in Abrede stellte und darauf eintrat, hat das Bundesverwaltungsgericht zu prüfen, ob das SEM das Gesuch zu Recht abwies.</w:t>
      </w:r>
    </w:p>
    <w:p>
      <w:r>
        <w:rPr>
          <w:b/>
        </w:rPr>
        <w:t>E. 6.1</w:t>
      </w:r>
    </w:p>
    <w:p>
      <w:r>
        <w:t>Die Beschwerdeführerin beruft sich - insbesondere auf Beschwerdeebene - darauf, dass ihre Überstellung nach Italien eine Verletzung von Art. 8 EMRK bewirken würde, weshalb das Selbsteintrittsrecht gemäss Art. 17 Dublin-III-VO auszuüben sei (vgl. dazu Filzwieser/Sprung, Dublin III-Verordnung, Wien 2014, K2 zu Artikel 17; BVGE 2013/24 E. 5 m.w.H.).</w:t>
      </w:r>
    </w:p>
    <w:p>
      <w:r>
        <w:rPr>
          <w:b/>
        </w:rPr>
        <w:t>E. 6.2</w:t>
      </w:r>
    </w:p>
    <w:p>
      <w:r>
        <w:t>Gemäss ständiger bundesgerichtlicher Rechtsprechung kann sich jemand nur dann auf den Schutz des Familienlebens nach Art. 8 EMRK berufen, wenn eine nahe, echte und tatsächlich gelebte familiäre Beziehung vorliegt. Diesbezüglich sind als wesentliche Faktoren das gemeinsame Wohnen respektive der gemeinsame Haushalt, die finanzielle Verflochtenheit, die Länge und Stabilität der Beziehung sowie das Interesse und die Bindung der Partner aneinander zu berücksichtigen (vgl. Christoph Grabenwarter/Katharina Pabel, Europäische Menschenrechtskonvention, 6. Aufl., München/Basel/Wien 2016, S. 204; Mark E. Villiger, Handbuch der Europäischen Menschenrechtskonvention, 2. Aufl., Zürich 1999, S. 365). Weiter muss es sich beim in der Schweiz lebenden Familienmitglied um eine hier gefestigt anwesenheitsberechtigte Person handeln (vgl. BGE 139 I 330 E. 2.1). Der Anspruch auf ein Zusammenleben gilt auch bei einer nahen, echten und tatsächlich gelebten familiären Beziehung im Sinne von Art. 8 EMRK nicht absolut, sondern es hat vielmehr eine Interessenabwägung zwischen dem Interesse an der Erteilung beziehungsweise am Erhalt des Anwesenheitsrechts und dem öffentlichen Interesse an dessen Verweigerung stattzufinden (vgl. BGE 139 I 330 E. 2.2 f. m.w.H.).</w:t>
      </w:r>
    </w:p>
    <w:p>
      <w:r>
        <w:rPr>
          <w:b/>
        </w:rPr>
        <w:t>E. 6.3</w:t>
      </w:r>
    </w:p>
    <w:p>
      <w:r>
        <w:t>Nach Prüfung der Akten durch das Gericht ist festzuhalten, dass das SEM in der angefochtenen Verfügung im Zusammenhang mit Art. 8 EMRK zu Recht auf seinen Entscheid vom 2. August 2017 betreffend das erste Wiedererwägungsgesuch der Beschwerdeführerin verwies, wobei korrigierenderweise anzumerken ist, dass die religiöse Trauung in Deutschland vor jenem Entscheid erfolgte und in den dortigen Erwägungen bereits Niederschlag gefunden hat. Entgegen der in der Beschwerde vertretenen Ansicht ist die Beziehung zwischen der Beschwerdeführerin und ihrem Partner - seit dem Entscheid vom 2. August 2017 ist erst knapp ein halbes Jahr vergangen - nach wie vor von kurzer Dauer. Auch unter Berücksichtigung der Schwangerschaft der Beschwerdeführerin sowie der in der Beschwerdeschrift vorgebrachten Umstände, dass sie seit Sommer 2017 mit B._______ in einem gemeinsamen Haushalt lebe und er - was nicht belegt wurde - für ihre Kosten (etwa die Arztkosten) aufkomme, kann daher noch nicht von einer schützenswerten eheähnlichen Beziehung gesprochen werden. Das eingeleitete Kindesanerkennungsverfahren ändert nichts an dieser Einschätzung. Im Übrigen ist darauf hinzuweisen, dass die Beschwerdeführerin seit ihrer erneuten Einreise in die Schweiz im Sommer 2017 und insbesondere seit Abschluss des ersten Wiedererwägungsverfahrens über kein Aufenthaltsrecht in diesem Land verfügt. Die Berufung auf den unter diesen Umständen gegründeten und fortgeführten gemeinsamen Haushalt erscheint daher äusserst fragwürdig. Auch dem in der Beschwerde geäusserten Wunsch, gemeinsam für das Kind zu sorgen, ist entgegenzuhalten, dass die Beschwerdeführerin und ihr Partner bereits im Zeitpunkt der Zeugung (Schwangerschaftsbeginn datiert nach der Eröffnung des Entscheids vom 2. August 2017; vgl. Bestätigungsschreiben vom 9. November 2017) damit rechnen mussten, dass sie angesichts ihres fehlenden Aufenthaltsrechts in der Schweiz (zumindest vorübergehend) nicht gemeinsam für ihr Kind werden sorgen können. Ferner gilt es zu beachten, dass das SEM in der angefochtenen Verfügung zu Recht festhielt, es stehe dem Partner der Beschwerdeführerin frei, zu gegebenem Zeitpunkt das für eine Familienzusammenführung vorgesehene Verfahren gemäss Art. 85 Abs. 7 AuG einzuleiten, wobei es der Beschwerdeführerin zugemutet werden könne, den Ausgang eines allfälligen solchen Verfahrens in Italien abzuwarten. So ist denn auch anzumerken, dass weder ein persönlicher, noch der telefonische Kontakt der Beschwerdeführerin zu ihrem Partner angesichts ihrer Überstellung in einen Nachbarstaat (Italien) verunmöglicht wird.</w:t>
      </w:r>
    </w:p>
    <w:p>
      <w:r>
        <w:rPr>
          <w:b/>
        </w:rPr>
        <w:t>E. 6.4</w:t>
      </w:r>
    </w:p>
    <w:p>
      <w:r>
        <w:t>Nach dem Gesagten bewirkt eine Überstellung der Beschwerdeführerin nach Italien keine Verletzung von Art. 8 EMRK. Es ist nicht ersichtlich und wird in der Beschwerde auch nicht weiter begründet, inwiefern vorliegend weitere Abklärungen vorgenommen werden müssten. Der Eventualantrag ist daher abzuweisen.</w:t>
      </w:r>
    </w:p>
    <w:p>
      <w:r>
        <w:rPr>
          <w:b/>
        </w:rPr>
        <w:t>E. 6.5</w:t>
      </w:r>
    </w:p>
    <w:p>
      <w:r>
        <w:t>Der Vollständigkeit halber ist festzuhalten, dass die angefochtene Verfügung zwar keine Ausführungen im Zusammenhang mit einem Selbsteintritt aus "humanitären Gründen" gemäss Art. 29a Abs. 3 AsylV1 enthält. Da das SEM in der angefochtenen Verfügung bereits über das zweite Wiedererwägungsgesuch der Beschwerdeführerin befand, in welchem als eigentlich neuer Umstand nur die Schwangerschaft vorgebracht wurde, der Entscheid vom 2. August 2017 das Vorliegen "humanitärer Gründe" explizit verneinte, und in der Beschwerdeschrift lediglich behauptet wurde, die Beschwerdeführerin sei durch ihre Schwangerschaft sehr schwach und auf die Hilfe ihres Partners angewiesen, ist die implizite Verneinung des Vorliegens humanitärer Gründe nicht zu beanstanden.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Mit dem vorliegenden Urteil ist das Beschwerdeverfahren abgeschlossen, weshalb sich die Anträge auf Kostenvorschusserlass und Gewährung der aufschiebenden Wirkung als gegenstandslos erweisen und der am 19. Januar 2018 verfügte einstweilige Vollzugsstopp hinfällig wird.</w:t>
      </w:r>
    </w:p>
    <w:p>
      <w:r>
        <w:rPr>
          <w:b/>
        </w:rPr>
        <w:t>E. 8.2</w:t>
      </w:r>
    </w:p>
    <w:p>
      <w:r>
        <w:t>Das mit der Beschwerde gestellte Gesuch um Gewährung der unentgeltlichen Prozessführung ist unabhängig einer allfälligen Bedürftigkeit der Beschwerdeführerin abzuweisen, da die Begehren - wie sich aus den vorstehenden Erwägungen ergibt - als aussichtslos zu bezeichnen waren und daher die Voraussetzungen von Art. 65 Abs. 1 VwVG nicht erfüllt sind. Folglich ist auch das Gesuch um Gewährung der unentgeltlichen Rechtsvertretung gemäss Art. 65 Abs. 2 VwVG abzuweisen.</w:t>
      </w:r>
    </w:p>
    <w:p>
      <w:r>
        <w:rPr>
          <w:b/>
        </w:rPr>
        <w:t>E. 8.3</w:t>
      </w:r>
    </w:p>
    <w:p>
      <w:r>
        <w:t>Bei diesem Ausgang des Verfahrens sind die Kosten der Beschwerdeführerin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