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D-3727/2013 vom 20. August 2013</w:t>
      </w:r>
    </w:p>
    <w:p>
      <w:r>
        <w:t>Bundesverwaltungsgericht, 2013-08-20, DE</w:t>
      </w:r>
    </w:p>
    <w:p>
      <w:r>
        <w:rPr>
          <w:b/>
        </w:rPr>
        <w:t xml:space="preserve">Quelle: </w:t>
      </w:r>
      <w:r>
        <w:t>https://mcp.opencaselaw.ch/entscheid/bvger_D-3727_2013</w:t>
      </w:r>
    </w:p>
    <w:p>
      <w:r>
        <w:t>FR: TAF D-3727/2013 du 20 août 2013</w:t>
      </w:r>
    </w:p>
    <w:p>
      <w:r>
        <w:t>IT: TAF D-3727/2013 del 20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Das genaue Datum der Eröffnung der BFM-Verfügung vom 22. Mai 2013 ist nicht bekannt. Aus den Akten ergibt sich jedoch, dass die angefochtene Verfügung durch Vermittlung der schweizerischen Vertretung in Colombo am (...) mit eingeschriebener Post verschickt worden war. Die auf den 13. Juni 2013 datierte und am 18. Juni 2013 bei der schweizerischen Vertretung eingegangene Beschwerdeschrift wurde daher zweifellos rechtzeitig eingereicht.</w:t>
      </w:r>
    </w:p>
    <w:p>
      <w:r>
        <w:rPr>
          <w:b/>
        </w:rPr>
        <w:t>E. 2.2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Der Beschwerdeführer wurde nicht zu seinem Asylgesuch be­fragt. Er hat seine Vorbringen jedoch bereits im Asylgesuch vom (...) schriftlich dargelegt dargelegt (vgl. Sachverhalt Bst. A.a) und erhielt vom BFM zweimal Gelegenheit zur weiteren Konkretisierung seiner Asylgründe sowie zur Untermauerung derselben mittels entsprechender Dokumente (vgl. Sachverhalt Bst. A.b und A.c). Überdies wurde ihm auch das rechtliche Gehör im Hinblick auf die in Erwägung gezogene Abweisung des Asylgesuchs gewährt. Der entscheid­wesentliche Sach­verhalt erscheint angesichts der schriftlichen Dar­legung der Asyl­grün­de soweit erstellt, dass die entscheidrelevanten Elemente vor­lie­gen.</w:t>
      </w:r>
    </w:p>
    <w:p>
      <w:r>
        <w:rPr>
          <w:b/>
        </w:rPr>
        <w:t>E. 5.2.2</w:t>
      </w:r>
    </w:p>
    <w:p>
      <w:r>
        <w:t>Bei dieser Sachlage bestand keine Veranlassung, den Be­schwer­deführer vor dem Entscheid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 Eine Verfolgungssituation muss überdies aktuell sein, um gemäss Art. 3 AsylG als relevant zu gelten.</w:t>
      </w:r>
    </w:p>
    <w:p>
      <w:r>
        <w:rPr>
          <w:b/>
        </w:rPr>
        <w:t>E. 5.4</w:t>
      </w:r>
    </w:p>
    <w:p>
      <w:r>
        <w:t>Die Vorinstanz hielt in ihrer angefochtenen Verfügung vom 22. Mai 2013 vorab zutreffend fest, gemäss schweizerischer Asylpraxis sei für die Gewährung der Einreise die Gefährdung einer asylsuchenden Person im Zeitpunkt der Einreisebewilligung massgebend. Vergangene Verfolgung sei somit nur dann beachtlich, als sie noch andauere oder konkrete Hinweis auf eine zukünftige Verfolgung bestünden. Befürchtungen, künftig staatlichen oder quasi-staatlichen Verfolgungsmassnahmen ausgesetzt zu sein, seien nur dann einreisebeachtlich, wenn begründeter Anlass zur Annahme bestehe, dass sich die Verfolgung mit beachtlicher Wahrscheinlichkeit und in absehbarer Zukunft verwirklichen werde.</w:t>
      </w:r>
    </w:p>
    <w:p>
      <w:r>
        <w:rPr>
          <w:b/>
        </w:rPr>
        <w:t>E. 5.4.1</w:t>
      </w:r>
    </w:p>
    <w:p>
      <w:r>
        <w:t>Der Beschwerdeführer machte zur Begründung seines am (...) gestellten Gesuches geltend, im Jahre 1999 (aufgrund der eingereichten IKRK-Bestätigung muss davon ausgegangen werden, dass er das Jahr 1998 meinte) vom CID festgenommen und in der fast ein Jahr dauernden Haft misshandelt worden zu sein. Des Weiteren brachte er vor, nach wie vor aufgrund der damaligen Inhaftierung von Angehörigen einer paramilitärischer Gruppe beziehungsweise von der "Karuna-Gruppe" verfolgt zu werden.</w:t>
      </w:r>
    </w:p>
    <w:p>
      <w:r>
        <w:rPr>
          <w:b/>
        </w:rPr>
        <w:t>E. 5.4.2</w:t>
      </w:r>
    </w:p>
    <w:p>
      <w:r>
        <w:t>Die vom Beschwerdeführer geschilderten Probleme wurden durch die Einreichung verschiedener Unterlagen dokumentiert und vom BFM nicht als unglaubhaft erachtet. Wie das BFM indessen zutreffend bemerkte, ergeben sich aus den Akten keine konkreten Anhaltspunkte dafür, dass der Beschwerdeführer nach Januar 2009 von einreiserelevanten Vorfällen betroffen gewesen wäre oder dass ihm solche drohen würden. Die damaligen Schwierigkeiten sind jedoch - wie in der angefochtenen Verfügung ebenfalls zutreffend festgehalten wurde - vor dem Hintergrund der zu jener Zeit allgemein angespannten Situation zu betrachten. Der Krieg zwischen der sri-lankischen Regierung und den "Liberation Tigers of Tamil Eelam" (LTTE) ist im Mai 2009 zu Ende gegangen und die Sicherheitslage in Sri Lanka hat sich inzwischen erheblich verbessert. Der Umstand, dass der Beschwerdeführer auf das Schreiben des BFM vom (...), in welchem er dazu aufgefordert worden war, seine aktuellen Probleme darzulegen, nicht reagiert hatte, stellt - wie in der angefochtenen Verfügung ebenfalls zu Recht bemerkt wurde - ein Indiz dafür dar, dass der Beschwerdeführer keiner (aktuellen) Gefährdungssituation mehr ausgesetzt ist. An dieser Feststellung vermögen die knappen Hinweise auf die im vorinstanzlichen Verfahren geltend gemachten Schwierigkeiten und die durch nichts belegte Behauptung, im Mai 2012 sei ein weiterer Bruder von Unbekannten gekidnappt worden, nichts zu ändern. Schliesslich sind auch die sich bei den Akten befindenden Unterlagen und Beweismittel nicht geeignet, zu einer anderen Beurteilung des Sachverhaltes zu führen, zumal diese eine mehrere Jahre zurückliegende und somit nicht mehr aktuelle Verfolgungssituation betreffen.</w:t>
      </w:r>
    </w:p>
    <w:p>
      <w:r>
        <w:rPr>
          <w:b/>
        </w:rPr>
        <w:t>E. 5.5</w:t>
      </w:r>
    </w:p>
    <w:p>
      <w:r>
        <w:t>Zusammenfassend ergibt sich, dass vorliegend keine konkreten Hinweise dafür bestehen, der Beschwerdeführer sei gegen­wärtig einer konkreten Gefährdung ausgesetzt oder habe eine unmit­telbar drohende Gefährdung akut zu befürchten.</w:t>
      </w:r>
    </w:p>
    <w:p>
      <w:r>
        <w:rPr>
          <w:b/>
        </w:rPr>
        <w:t>E. 5.6</w:t>
      </w:r>
    </w:p>
    <w:p>
      <w:r>
        <w:t>Schliesslich ist festzustellen, dass keine nahen Verwandten oder Bezugspersonen des Beschwerdeführers in der Schweiz leben und den Akten auch sonst keine Hinweise auf Anknüpfungspunkte zur Schweiz zu entnehmen sind.</w:t>
      </w:r>
    </w:p>
    <w:p>
      <w:r>
        <w:rPr>
          <w:b/>
        </w:rPr>
        <w:t>E. 5.7</w:t>
      </w:r>
    </w:p>
    <w:p>
      <w:r>
        <w:t>Der Beschwerdeführer vermochte insgesamt nicht aufzuzeigen, dass er auf die Schutzgewährung durch die Schweiz angewiesen ist beziehungsweise ihm gerade die Schweiz den erforderlichen Schutz gewähren muss. Der weitere Verbleib in Sri Lanka ist ihm nach dem Gesagten zuzumuten und die Vorinstanz hat ihm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