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D-3725/2012 vom 4. April 2013</w:t>
      </w:r>
    </w:p>
    <w:p>
      <w:r>
        <w:t>Bundesverwaltungsgericht, 2013-04-04, DE</w:t>
      </w:r>
    </w:p>
    <w:p>
      <w:r>
        <w:rPr>
          <w:b/>
        </w:rPr>
        <w:t xml:space="preserve">Quelle: </w:t>
      </w:r>
      <w:r>
        <w:t>https://mcp.opencaselaw.ch/entscheid/bvger_D-3725_2012</w:t>
      </w:r>
    </w:p>
    <w:p>
      <w:r>
        <w:t>FR: TAF D-3725/2012 du 4 avril 2013</w:t>
      </w:r>
    </w:p>
    <w:p>
      <w:r>
        <w:t>IT: TAF D-3725/2012 del 4 aprile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w:t>
      </w:r>
    </w:p>
    <w:p>
      <w:r>
        <w:t>Im vorliegenden Fall besteht Anlass zur Frage, ob die Vorinstanz im Hinblick auf die angefochtene Verfügung den entscheidwesentlichen Sachverhalt in rechtsgenüglicher Weise abgeklärt hat.</w:t>
      </w:r>
    </w:p>
    <w:p>
      <w:r>
        <w:rPr>
          <w:b/>
        </w:rPr>
        <w:t>E. 3.1</w:t>
      </w:r>
    </w:p>
    <w:p>
      <w:r>
        <w:t>Die Beschwerdeführerin hat im Rahmen ihrer Anhörungen durch die Vorinstanz wiederholt geäussert, sie sei in der Türkei wegen ihres Vaters belästigt und bedroht worden. Wegen des Vaters habe die gesamte Familie in der Türkei Schwierigkeiten gehabt. Nach dessen Flucht ins Ausland habe die türkische Polizei bei Hausdurchsuchungen nach ihm gefragt. Als die Beschwerdeführerin einmal anlässlich einer Kundgebung festgenommen worden sei, habe man ihr Folter angedroht, sollte sich ihr Vater nicht den türkischen Behörden stellen. Ihre Mutter sei in der Frauenorganisation der PKK gewesen, ihre ältere Schwester Mitglied der Jugendorganisation der Partei. Die ältere Schwester und einer ihrer Brüder seien in die Berge gegangen. Diese Aussage impliziert möglicherweise, dass die beiden Genannten die PKK im bewaffneten Kampf unterstützten.</w:t>
      </w:r>
    </w:p>
    <w:p>
      <w:r>
        <w:rPr>
          <w:b/>
        </w:rPr>
        <w:t>E. 3.2</w:t>
      </w:r>
    </w:p>
    <w:p>
      <w:r>
        <w:t>Diesen Aussagen der Beschwerdeführerin steht gegenüber, dass im Rahmen der durchgeführten Anhörungen keinerlei vertiefende Fragen in Bezug auf den Vater und dessen politischen Hintergrund und Fluchtgründe gestellt wurden. Lediglich zur Mutter und zu den Geschwistern wurden ergänzende, allerdings nur sehr summarische Informationen erhoben (vgl. Protokoll der eingehenden Befragung, S. 10). In der angefochtenen Verfügung schliesslich fehlt jeglicher Hinweis darauf, dass die Beschwerdeführerin anlässlich ihrer Anhörungen von einer aktiven PKK-Mitglied­schaft ihrer engsten Familienangehörigen berichtet hatte. Entsprechend wurden durch die Vorinstanz weder die Verfahrensdossiers der in der Schweiz befindlichen Familienmitglieder beigezogen, noch wurde die Möglichkeit einer Reflexverfolgungsgefahr in der angefochtenen Verfügung berücksichtigt. Dabei ist festzustellen, dass sich eine eingehende Prüfung der Frage, ob die Beschwerdeführerin in der Türkei der Gefahr einer Reflexverfolgung ausgesetzt war beziehungsweise im Falle einer Rückkehr ausgesetzt wäre, nicht nur gestützt auf die eigenen Angaben anlässlich ihrer Befragungen aufdrängt. Sondern entsprechender Anlass ergibt sich auch aus den Asylverfahrensdossiers verschiedener in der Schweiz sich aufhaltender Familienangehöriger der Beschwerdeführerin (C._______ und D._______ B._______ [Eltern der Beschwerdeführerin]; E._______ B._______ [Bruder der Beschwerdeführerin]; F._______ B._______ [Tante der Beschwerdeführerin]; G._______ B._______ [Tante der Beschwerdeführerin]; H._______ und I._______ B._______ [unklarer Verwandtschaftsgrad]). Eine summarische Sichtung der Verfahrensakten der genannten Personen ergibt, dass verschiedene unter ihnen wegen politischer Betätigung für kurdische Parteien und Organisationen durch die türkischen Justizbehörden zu teilweise mehrjährigen Haftstrafen verurteilt wurden. Bei F._______ B._______ soll es sich gemäss deren eigenen Angaben um die zur Zeit ihrer Ausreise amtierende Bürgermeisterin der Stadt J._______ (Provinz K._______) für die kurdische BDP handeln. Insbesondere ist auf die Fluchtgründe des Vaters der Beschwer­deführerin, C._______ B._______, hinzuweisen, der am 14. November 2005 in der Schweiz ein Asylgesuch stellte und durch das BFM mit Verfügung vom 3. Oktober 2007 als Flüchtling anerkannt und (nach Ausschluss vom Asyl gemäss Art. 53 AsylG) vorläufig aufgenommen wurde. Aus der genannten Verfügung des Bundesamts geht in Bezug auf den Vater der Beschwerdeführerin im Wesentlichen hervor, dieser habe über Jahre hinweg im Sinne der PKK politisiert, dabei [...] als [...] fungiert, habe sich teilweise - indem er sich unter anderem während eines Jahres als persönlicher Gast des PKK-Führers Abdullah Öcalan in dessen damaligem Hauptquartier in Syrien befunden habe - in unmittelbarer Nähe zum engsten Führungskreis der PKK aufgehalten und dabei namhafte Beiträge zum Aufbau der Organisation geleistet. In der Schweiz sei er [...].</w:t>
      </w:r>
    </w:p>
    <w:p>
      <w:r>
        <w:rPr>
          <w:b/>
        </w:rPr>
        <w:t>E. 3.3</w:t>
      </w:r>
    </w:p>
    <w:p>
      <w:r>
        <w:t>Die verfügende Behörde ist verpflichtet, wesentliche Äusserungen der betroffenen Person(en) tatsächlich zur Kenntnis zu nehmen und sich damit in der Entscheidfindung und -begründung sachgerecht auseinander­zusetzen (Bernhard Waldmann/Jürg Bickel, in: Bernhard Waldmann/ Philippe Weissenberger [Hrsg.], Praxiskommentar VwVG, Zürich/Basel/ Genf 2009, Art. 30, N 5; vgl. ausserdem Waldmann/Bickel, a.a.O., Art. 32). In der angefochtenen Verfügung wurde indessen weder erwähnt, dass die Beschwerdeführerin Aussagen zu den politischen Aktivitäten ihrer Familienangehörigen machte, noch wurde darauf im Sinne einer rechtlichen Prüfung ein­gegangen. Im Rahmen der Vernehmlassung im vorliegenden Verfahren hat es das Bundesamt ebenfalls - obwohl in der Beschwerdeschrift geltend gemacht wird, es bestehe aufgrund der familiären und weiterer verwandtschaftlicher Beziehungen der Beschwerdeführerin zu verschiedenen ehemaligen und aktiven Mitgliedern der PKK die Gefahr einer Reflexverfolgung - versäumt, sich mit der genannten Frage auseinanderzusetzen. Dabei ist festzustellen, dass eine Prüfung dieser Frage voraussetzen würde, dass der Sachverhalt überhaupt ausreichend abgeklärt worden ist. Dies ist im vorliegenden Fall offensichtlich nicht gegeben, nachdem das BFM keinerlei Anstalten gemacht hat, die erforderlichen Informationen über den familiären Hintergrund der Beschwerdeführerin zu erheben beziehungsweise die bereits vorhandenen Erkenntnisse aus den Verfahrensdossiers der Angehörigen der Beschwerdeführerin beizuziehen.</w:t>
      </w:r>
    </w:p>
    <w:p>
      <w:r>
        <w:rPr>
          <w:b/>
        </w:rPr>
        <w:t>E. 3.4</w:t>
      </w:r>
    </w:p>
    <w:p>
      <w:r>
        <w:t>Somit ist festzustellen, dass der entscheidwesentliche Sachverhalt nicht vollständig und rechtsgenüglich abgeklärt worden ist. Das BFM ist daher aufzufordern, die entsprechenden Massnahmen durchzuführen und gestützt auf deren Ergebnisse das Asylgesuch neu zu beurteilen.</w:t>
      </w:r>
    </w:p>
    <w:p>
      <w:r>
        <w:rPr>
          <w:b/>
        </w:rPr>
        <w:t>E. 4</w:t>
      </w:r>
    </w:p>
    <w:p>
      <w:r>
        <w:t>Nach dem Gesagten ist die Beschwerde insofern gutzuheissen, als damit die Aufhebung der angefochtenen Verfügung beantragt wird, und die Sache ist zur erneuten Beurteilung im Sinne der Erwägungen an die Vorinstanz zurückzuweisen.</w:t>
      </w:r>
    </w:p>
    <w:p>
      <w:r>
        <w:rPr>
          <w:b/>
        </w:rPr>
        <w:t>E. 5.1</w:t>
      </w:r>
    </w:p>
    <w:p>
      <w:r>
        <w:t>Bei diesem Ausgang des Verfahrens sind keine Kosten zu erheben (Art. 63 Abs. 3 VwVG i.V.m. Art. 37 VGG).</w:t>
      </w:r>
    </w:p>
    <w:p>
      <w:r>
        <w:rPr>
          <w:b/>
        </w:rPr>
        <w:t>E. 5.2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des Rechtsvertreters der Beschwerdeführerin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der Beschwerdeführerin Fr. 800.- (inkl. Auslagen und Mehrwertsteuer) als Parteientschädigung zuzusprechen. Dieser Betrag ist der Beschwerdeführerin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