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D-3725/2010 vom 25. Oktober 2010</w:t>
      </w:r>
    </w:p>
    <w:p>
      <w:r>
        <w:t>Bundesverwaltungsgericht, 2010-10-25, DE</w:t>
      </w:r>
    </w:p>
    <w:p>
      <w:r>
        <w:rPr>
          <w:b/>
        </w:rPr>
        <w:t xml:space="preserve">Quelle: </w:t>
      </w:r>
      <w:r>
        <w:t>https://mcp.opencaselaw.ch/entscheid/bvger_D-3725_2010</w:t>
      </w:r>
    </w:p>
    <w:p>
      <w:r>
        <w:t>FR: TAF D-3725/2010 du 25 octobre 2010</w:t>
      </w:r>
    </w:p>
    <w:p>
      <w:r>
        <w:t>IT: TAF D-3725/2010 del 25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Für die Beurteilung der Flüchtlingseigenschaft ist nicht nur der Zeitpunkt der Ausreise aus dem Heimatstaat, sondern auch die Situation im Zeitpunkt des Asylentscheids massgebend (vgl. Entscheidungen und Mitteilungen der Schweizerischen Asylrekurskommission [EMARK] 2005 Nr. 18). 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vgl. ferner EMARK 2000 Nr. 16 E. 5a S. 141 f., mit weiteren Hinweisen). Stattdessen werden Personen, welche subjektive Nachfluchtgründe nachweisen oder glaubhaft machen können, als Flüchtlinge vorläufig aufgenommen (vgl. dazu die nach wie vor gültigen und zutreffenden Ausführungen in EMARK 1995 Nr. 7 E. 7b und 8 S. 67 ff.; EMARK 2000 Nr. 16 E. 5a S. 141 f., mit weiteren Hinweisen).</w:t>
      </w:r>
    </w:p>
    <w:p>
      <w:r>
        <w:rPr>
          <w:b/>
        </w:rPr>
        <w:t>E. 5.1</w:t>
      </w:r>
    </w:p>
    <w:p>
      <w:r>
        <w:t>Aufgrund der Prüfung der Akten durch das Gericht erweisen sich die vorinstanzlichen Erwägungen grundsätzlich als zutreffend. Zur Vermeidung von Wiederholungen kann daher vorab auf die Erwägungen des BFM in der angefochtenen Verfügung verwiesen werden.</w:t>
      </w:r>
    </w:p>
    <w:p>
      <w:r>
        <w:rPr>
          <w:b/>
        </w:rPr>
        <w:t>E. 5.2</w:t>
      </w:r>
    </w:p>
    <w:p>
      <w:r>
        <w:t>Der Beschwerdeführer wendet in der Beschwerdeschrift zunächst ein, das Bundesamt habe den Sachverhalt nicht richtig festgestellt, indem es übersehen habe, dass er seine Angaben zur Ausreise aus seinem Heimatstaat anlässlich der Anhörung vom 18. (recte: 28.) Juli 2009 berichtigt habe. Er habe demnach bereits vor Vornahme der Botschaftsabklärung angegeben, Syrien im (...) verlassen zu haben.</w:t>
      </w:r>
    </w:p>
    <w:p>
      <w:r>
        <w:rPr>
          <w:b/>
        </w:rPr>
        <w:t>E. 5.2.1</w:t>
      </w:r>
    </w:p>
    <w:p>
      <w:r>
        <w:t>Das BFM hielt in der angefochtenen Verfügung fest, die Botschaftsabklärung schaffe Klarheit betreffend den Zeitpunkt der Ausreise des Beschwerdeführers aus Syrien und decke seine diesbezüglichen falschen Angaben auf. Er sei nicht - wie er sowohl anlässlich der Befragung im EVZ als auch in der direkten Bundesanhörung behauptet habe - am 15. Mai 2008 in die Türkei ausgereist. In seiner Stellungnahme habe der Beschwerdeführer die Korrektheit des von der Botschaft ermittelten Ausreisedatums eingeräumt. Somit stehe allerdings fest, dass er die Schweizerischen Asylbehörden über den im Hinblick auf die Begründung seines Asylgesuchs wesentlichen Zeitpunkt seiner Ausreise aus dem Heimatland getäuscht habe. Ein solches Verhalten sei unter keinen Umständen mit dem Verhalten einer asylsuchenden Person zu vereinbaren und lasse insbesondere erhebliche Zweifel an der Glaubhaftigkeit der Aussagen des Beschwerdeführers bezüglich der angeblich zu seiner Ausreise aus Syrien führenden Ereignisse entstehen, zumal diese Aussagen widersprüchlich und realitätsfremd seien.</w:t>
      </w:r>
    </w:p>
    <w:p>
      <w:r>
        <w:rPr>
          <w:b/>
        </w:rPr>
        <w:t>E. 5.2.2</w:t>
      </w:r>
    </w:p>
    <w:p>
      <w:r>
        <w:t>Es trifft zu, dass der Beschwerdeführer anlässlich seiner Anhörung vom 28. Juli 2009 auf Frage 130 antwortete, er und D. hätten eine gemeinsame Ausreise geplant gehabt. Aber D. sei alleine am 15. Mai 2008 in die Türkei gereist. Daraufhin habe er (der Beschwerdeführer) sich nach E._______ begeben. Ein Irrtum seinerseits vorbehalten, sei er im (...) auf dem Luftweg in die Türkei gereist (vgl. A 11/20 S. 14). Zwar hatte der Beschwerdeführer anlässlich derselben Anhörung (a.a.O. S. 7 Antwort zu Frage 67) noch zu Protokoll gegeben, er habe seinen Heimatstaat am 15. Mai 2008 verlassen, insofern trifft auch zu, dass er sowohl anlässlich der Befragung im EVZ als auch der direkten Bundesanhörung eine Ausreise am 15. Mai 2008 behauptet hatte. Die vorinstanzliche Formulierung suggeriert zwar, der Beschwerdeführer habe erst nach dem Eintreffen der Botschaftsabklärung seine spätere Ausreise eingeräumt, was jedoch - wie gesehen - nicht den Tatsachen entspricht. Die vom BFM gezogene Schlussfolgerung allerdings, das Aussageverhalten des Beschwerdeführers sei mit dem Verhalten einer asylsuchenden Person nicht zu vereinbaren und gebe Anlass zu erheblichen Zweifeln an der Glaubhaftigkeit seiner Aussagen, behält auch bei Berücksichtigung aller Angaben des Beschwerdeführers ihre Gültigkeit, da die späte Korrektur nichts an den ursprünglich unzutreffend geschilderten Ausreisedaten ändert. Der Erklärungsversuch des Beschwerdeführers in der Beschwerdeschrift, er habe in der Befragung zur Person unrichtige Angaben gemacht, weil er nach den Informationen von kurdischen Türken und kurdischen Irakern hier in der Schweiz grosse Angst gehabt habe, ausgeschafft zu werden, wenn er die Wahrheit über seine Ausreise sagen würde, überzeugt das Gericht nicht. Insbesondere unterlässt es der Beschwerdeführer zu substanziieren, inwiefern sich die wahrheitsgemässe Auskunft über seine Ausreise aus seiner Sicht für ihn negativ hätte auswirken können. Anzumerken bleibt zudem, dass die Angaben des Beschwerdeführers zum Zeitpunkt seiner Ausreise lediglich einen Nebenaspekt der Glaubhaftigkeitsbeurteilung bilden und der Umstand, dass der Beschwerdeführer schliesslich von sich aus das korrekte Ausreisedatum nannte, zu keiner abweichenden Gesamtbeurteilung der Vorbringen des Beschwerdeführers führt.</w:t>
      </w:r>
    </w:p>
    <w:p>
      <w:r>
        <w:rPr>
          <w:b/>
        </w:rPr>
        <w:t>E. 5.3</w:t>
      </w:r>
    </w:p>
    <w:p>
      <w:r>
        <w:t>Das BFM führte in der angefochtenen Verfügung aus, der Beschwerdeführer habe im EVZ zu Protokoll gegeben, er sei Mitglied der Yekiti Partei. In der Bundesanhörung habe er jedoch erklärt, er sei kein Mitglied dieser Partei. Dem hält der Beschwerdeführer auf Beschwerdeebene entgegen, er habe zur Frage der Mitgliedschaft in der Yekiti Partei nicht widersprüchlich ausgesagt, vielmehr habe er in der Anhörung vom 28. Juli 2009 erklärt, dass er Mitglied einer kurdischen Tanzgruppe und diese Gruppe als Kollektiv Mitglied der Yekiti Partei gewesen sei. Der Beschwerdeführer führte anlässlich der direkten Bundesanhörung auf Frage nach seiner Mitgliedschaft in der Yekiti Partei aus, er habe nicht gesagt, dass er Mitglied dieser Partei gewesen sei. Er habe aber gesagt, er sei als Mitglied einer kurdischen Tanzgruppe auch (Kollektiv-)Mitglied der Partei gewesen (vgl. A11/20 S. 14). Gemäss Protokoll der Befragung im EVZ gab der Beschwerdeführer dannzumal jedoch an, er sei seit anfangs 2008 Mitglied der Yekiti Partei. Zudem fügte er an, er sei über seinen Freund D. Mitglied der Partei geworden (vgl. A 1/10 S. 6). Von einer Kollektiv-Mitgliedschaft sowie von einer Tanzgruppe war somit keine Rede. Bei dieser Sachlage ist der Vorwurf einer widersprüchlichen Aussage nicht zu beanstanden.</w:t>
      </w:r>
    </w:p>
    <w:p>
      <w:r>
        <w:rPr>
          <w:b/>
        </w:rPr>
        <w:t>E. 5.4</w:t>
      </w:r>
    </w:p>
    <w:p>
      <w:r>
        <w:t>Schliesslich zielt der Einwand in der Beschwerdeschrift, der Beschwerdeführer habe Zeit zur Vorbereitung der Ausreise benötigt und sei deshalb erst später ausgereist, an der Argumentation des Bundesamtes vorbei beziehungsweise vermag diese nicht zu entkräften. Dieses führte nämlich aus, das Versteck bei der (...) sei realitätsfremd, da der Beschwerdeführer bei einer Verwandten einem höheren Risiko des Aufspürens ausgesetzt gewesen sei. Insbesondere legt der Beschwerdeführer nicht dar, weshalb seinem Freund D. die Ausreise bereits am 15. Mai 2008 möglich gewesen sein soll, er selber jedoch bis Ende (...) Vorbereitungen hat treffen müssen. Ebenso hält die Vorinstanz dem Beschwerdeführer zu Recht entgegen, die Ausreise einer gesuchten Person über den Flughafen von E._______ lasse einen Realitätsbezug vermissen. Im Übrigen lässt sich die ausführliche Begründung des BFM, weshalb die Angaben des Beschwerdeführers als realitätsfremd zu bezeichnen seien, nicht durch die Behauptung in der Beschwerdeschrift entkräften, die Geschichte habe sich so abgespielt, wie sie der Beschwerdeführer dargelegt habe.</w:t>
      </w:r>
    </w:p>
    <w:p>
      <w:r>
        <w:rPr>
          <w:b/>
        </w:rPr>
        <w:t>E. 5.5</w:t>
      </w:r>
    </w:p>
    <w:p>
      <w:r>
        <w:t>Die vom Beschwerdeführer eingereichten Beweismittel führen ebenfalls zu keinem anderen Resultat. Diesbezüglich ist zunächst darauf hinzuweisen, dass der Beschwerdeführer im Rahmen des vorinstanzlichen Verfahrens angab, er kenne den vollständigen Namen von M. nicht (vgl. A 11/20 S. 13). Aus diesem Grund erscheint bereits fraglich, ob es sich bei dem in den Internetpublikationen erwähnten M. überhaupt um den Bekannten des Beschwerdeführers handelt. Unklar ist sodann, wer diese Artikel verfasst hat, weshalb sich deren Seriosität auch nicht beurteilen lässt. Als wesentlich erweist sich jedoch letztlich, dass den Artikeln - soweit überhaupt verständlich - zwar ansatzweise ein ähnlicher Sachverhalt entnommen werden kann, wie ihn der Beschwerdeführer in den Grundzügen schildert, aber ein Zusammenhang mit der Person des Beschwerdeführers vollständig fehlt. Die eingereichten Beweismittel vermögen somit das Ergebnis der Botschaftsabklärung, wonach der Beschwerdeführer von den syrischen Behörden nicht gesucht werde, nicht zu entkräften.</w:t>
      </w:r>
    </w:p>
    <w:p>
      <w:r>
        <w:rPr>
          <w:b/>
        </w:rPr>
        <w:t>E. 5.6</w:t>
      </w:r>
    </w:p>
    <w:p>
      <w:r>
        <w:t>Zusammengefasst ergibt sich damit, dass der Beschwerdeführer für den Zeitpunkt der Ausreise aus Syrien keine Verfolgung im Sinne von Art. 3 AsylG nachweisen oder zumindest glaubhaft machen konnte. Das BFM hat das Asylgesuch in diesem Kontext zu Recht abgewiesen.</w:t>
      </w:r>
    </w:p>
    <w:p>
      <w:r>
        <w:rPr>
          <w:b/>
        </w:rPr>
        <w:t>E. 6</w:t>
      </w:r>
    </w:p>
    <w:p>
      <w:r>
        <w:t>Der Beschwerdeführer trägt in der Beschwerdeschrift vor, er mache auch subjektive Nachfluchtgründe durch seine exilpolitische Tätigkeit geltend. Er sei in der Schweiz der kurdischen Yekiti Partei als individuelles Mitglied beigetreten. Gemäss den Erkenntnissen des BFM vom 2. November 2009 sei es in den letzten Jahren immer wieder zu Festnahmen von Rückkehrern wegen deren politischen Hintergrundes gekommen. Die Aktivitäten der im Ausland lebenden Syrer würden sorgfältig überwacht.</w:t>
      </w:r>
    </w:p>
    <w:p>
      <w:r>
        <w:rPr>
          <w:b/>
        </w:rPr>
        <w:t>E. 6.1</w:t>
      </w:r>
    </w:p>
    <w:p>
      <w:r>
        <w:t>Den Erkenntnissen des Bundesverwaltungsgerichts zufolge trifft es zwar zu, dass sich die syrischen Behörden für die exilpolitischen Aktivitäten ihrer Staatsangehörigen interessieren. Es ist jedoch davon auszugehen, dass sich die syrischen Geheimdienste auf die Erfassung von Personen konzentrieren, die über die massentypischen und niedrigprofilierten Erscheinungsformen exilpolitischer Proteste hinaus Funktionen wahrgenommen und/oder Aktivitäten entwickelt haben, die die Person aus der Masse der mit dem Regime Unzufriedenen herausheben und als ernsthaften und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 zu einer Gefahr für den Bestand des syrischen Regimes wird.</w:t>
      </w:r>
    </w:p>
    <w:p>
      <w:r>
        <w:rPr>
          <w:b/>
        </w:rPr>
        <w:t>E. 6.2</w:t>
      </w:r>
    </w:p>
    <w:p>
      <w:r>
        <w:t>Der Beschwerdeführer behauptet zwar einen Beitritt zur beziehungsweise eine Mitgliedschaft in der Yekiti Partei, er unterlässt es jedoch, dies zu belegen. Weitere exilpolitische Aktivitäten werden von ihm weder geltend gemacht noch ergeben sich solche aus den Akten. Damit ist nicht ersichtlich, inwiefern der Beschwerdeführer als besonders engagierter und exponierter Regimegegner zu qualifizieren wäre. Entsprechend ist nicht davon auszugehen, er müsste deswegen bei einer Rückkehr in den Heimatstaat mit flüchtlingsrechtlich relevan-ter Verfolgung durch die syrischen Behörden rechnen.</w:t>
      </w:r>
    </w:p>
    <w:p>
      <w:r>
        <w:rPr>
          <w:b/>
        </w:rPr>
        <w:t>E. 6.3</w:t>
      </w:r>
    </w:p>
    <w:p>
      <w:r>
        <w:t>Nach dem Gesagten ist die Flüchtlingseigenschaft des Beschwerdeführers auch mangels subjektiver Nachfluchtgründe gemäss Art. 54 AsylG zu verneinen.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Die Wegweisung aus der Schweiz wird unter anderem dann nicht verfügt, wenn die asylsuchende Person im Besitze einer gültigen Aufenthalts- oder Niederlassungsbewilligung ist oder einen Anspruch auf eine solche Bewilligung hat (vgl. Art. 32 Bst. a der Asylverordnung 1 vom 11. August 1999 über Verfahrensfragen [AsylV 1, SR 142.311]). Trotz hängigem Asylverfahren kann eine asylsuchende Person ein Verfahren um Erteilung einer ausländerrechtlichen Aufenthaltsbewilligung einleiten, wenn ein Anspruch auf deren Erteilung besteht (Art. 14 Abs. 1 AsylG). Ist ein grundsätzlicher Anspruch auf Erteilung einer Aufenthaltsbewilligung gegeben, fällt die konkrete Beurteilung des geltend gemachten Anspruchs und damit der Entscheid über die Wegweisung in die Zuständigkeit der ausländerrechtlichen Behörden (vgl. EMARK 2001 Nr. 21).</w:t>
      </w:r>
    </w:p>
    <w:p>
      <w:r>
        <w:rPr>
          <w:b/>
        </w:rPr>
        <w:t>E. 7.2</w:t>
      </w:r>
    </w:p>
    <w:p>
      <w:r>
        <w:t>Der Beschwerdeführer hat am (...) eine Schweizer Bürgerin geheiratet. Mit Schreiben vom 21. September 2010 teilte das BFM den Beschwerdeführer neu dem Wohnsitzkanton der Ehefrau, D._______, zu. Aufgrund der Akten ist von der Einleitung eines Verfahrens um Erteilung einer ausländerrechtlichen Aufenthaltsbewilligung auszugehen, welches derzeit pendent sein dürfte. Da bisher kein abschliessender Entscheid zur Frage der Erteilung der beantragten ausländerrechtlichen Aufenthaltsbewilligung vorliegt, hat das Bundesverwaltungsgericht - im Sinne der zitierten Praxis nach EMARK 2001 Nr. 21 - im Rahmen einer vorfrageweisen Prüfung zu klären, ob der Beschwerdeführer zumindest im Grundsatz über einen Anspruch auf Erteilung einer ausländerrechtlichen Bewilligung verfügt, was ohne weiteres zu bejahen ist (vgl. Art. 42 Abs. 1 des Bundesgesetzes vom 16. Dezember 2005 über die Ausländerinnen und Ausländer [AuG, SR 142.20]), weshalb die vom BFM verfügte Wegweisung (Ziffer 3 des Dispositivs der angefochtenen Verfügung) praxisgemäss aufzuheben ist.</w:t>
      </w:r>
    </w:p>
    <w:p>
      <w:r>
        <w:rPr>
          <w:b/>
        </w:rPr>
        <w:t>E. 7.3</w:t>
      </w:r>
    </w:p>
    <w:p>
      <w:r>
        <w:t>Nachdem die Anordnung der Wegweisung aufzuheben ist, fällt die Grundlage für den Wegweisungsvollzug dahin, weshalb die diesbezüglichen Anordnungen (Ziffern 4 und 5 des Dispositivs der angefoch-tenen Verfügung) ebenfalls aufzuheben sind.</w:t>
      </w:r>
    </w:p>
    <w:p>
      <w:r>
        <w:rPr>
          <w:b/>
        </w:rPr>
        <w:t>E. 8</w:t>
      </w:r>
    </w:p>
    <w:p>
      <w:r>
        <w:t>Zusammenfassend ist festzuhalten, dass es dem Beschwerdeführer hinsichtlich der Verneinung der Flüchtlingseigenschaft und der Ablehnung des Asylgesuches nicht gelungen ist darzutun, dass die angefochtene Verfügung Bundesrecht verletzt, den rechtserheblichen Sachverhalt unrichtig und unvollständig feststellt oder unangemessen ist (Art. 106 AsylG). Die Beschwerde ist deshalb diesbezüglich abzuweisen. Soweit die Aufhebung der Verfügung vom 22. April 2010 im Umfang der Dispositiv-Ziffern 3 bis 5 beantragt worden ist, dringt der Beschwerdeführer durch (im Sinne der Praxis wäre nur dann von deren Gegenstandslosigkeit auszugehen, wenn die beantragte Aufenthaltsbewilligung bereits erteilt worden wäre). In diesem Umfang ist die Beschwerde gutzuheissen.</w:t>
      </w:r>
    </w:p>
    <w:p>
      <w:r>
        <w:rPr>
          <w:b/>
        </w:rPr>
        <w:t>E. 9.1</w:t>
      </w:r>
    </w:p>
    <w:p>
      <w:r>
        <w:t>Der Beschwerdeführer ist nach dem Gesagten praxisgemäss als zur Hälfte unterliegende Partei anzusehen, weshalb er insoweit kostenpflichtig wird (vgl. Art. 63 Abs. 1 und 5 VwVG). Ausgehend von einer Gerichtsgebühr von Fr. 600.-- (Art. 16 Abs. 1 Bst. a VGG i.V.m. Art. 1, 2 und 3 Bst. b des Reglements vom 21. Februar 2008 über die Kosten und Entschädigungen vor dem Bundesverwaltungsgericht (VGKE, SR 173.320.2) sind dem Beschwerdeführer entsprechend Kosten in der Höhe von Fr. 300.-- aufzuerlegen. Diese sind durch den am 11. Juni 2010 geleisteten Kostenvorschuss im Betrage von Fr. 600.-- gedeckt und sind mit diesem zu verrechnen. Der überschüssige Betrag von Fr. 300.-- ist zurückzuerstatten.</w:t>
      </w:r>
    </w:p>
    <w:p>
      <w:r>
        <w:rPr>
          <w:b/>
        </w:rPr>
        <w:t>E. 9.2</w:t>
      </w:r>
    </w:p>
    <w:p>
      <w:r>
        <w:t>Dem Beschwerdeführer wäre - als teilweise obsiegende Partei - für die ihm im Beschwerdeverfahren erwachsenen notwendigen Kosten grundsätzlich eine praxisgemäss um die Hälfte zu reduzierende Parteientschädigung zuzusprechen (vgl. Art. 64 Abs. 1 VwVG sowie Art. 16 Abs. 1 Bst. a VGG i.V.m. Art. 7 Abs. 2 VGKE). Da der Beschwerdeführer im Beschwerdeverfahren nicht vertreten ist, ist nicht davon auszugehen, es seien ihm durch die Beschwerdeführung allfällige weitere notwendige Auslagen (vgl. Art. 8 VGKE) entstanden, weshalb vorliegend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