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D-3724/2025 vom 24. Juli 2025</w:t>
      </w:r>
    </w:p>
    <w:p>
      <w:r>
        <w:t>Bundesverwaltungsgericht, 2025-07-24, DE</w:t>
      </w:r>
    </w:p>
    <w:p>
      <w:r>
        <w:rPr>
          <w:b/>
        </w:rPr>
        <w:t xml:space="preserve">Quelle: </w:t>
      </w:r>
      <w:r>
        <w:t>https://mcp.opencaselaw.ch/entscheid/bvger_D-3724_2025</w:t>
      </w:r>
    </w:p>
    <w:p>
      <w:r>
        <w:t>FR: TAF D-3724/2025 du 24 juillet 2025</w:t>
      </w:r>
    </w:p>
    <w:p>
      <w:r>
        <w:t>IT: TAF D-3724/2025 del 24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nach fristgerechter Leistung des Kostenvorschusses einzu- treten.</w:t>
      </w:r>
    </w:p>
    <w:p>
      <w:r>
        <w:t>D-3724/2025 Seite 5</w:t>
      </w:r>
    </w:p>
    <w:p>
      <w:r>
        <w:rPr>
          <w:b/>
        </w:rPr>
        <w:t>E. 2.1</w:t>
      </w:r>
    </w:p>
    <w:p>
      <w:r>
        <w:t>Die Kognition des Bundesverwaltungsgerichts und die zulässigen Rügen richten sich im Asylbereich nach Art. 106 Abs. 1 AsylG, im Bereich des Aus- länderrechts nach Art. 49 VwVG (vgl. BVGE 2014/26 E. 5).</w:t>
      </w:r>
    </w:p>
    <w:p>
      <w:r>
        <w:rPr>
          <w:b/>
        </w:rPr>
        <w:t>E. 2.2</w:t>
      </w:r>
    </w:p>
    <w:p>
      <w:r>
        <w:t>Das Urteil in vorliegender Sache ergeht mit demselben Spruchgremium koordiniert und zeitgleich wie dasjenige seines Bruders (D-3723/2025 / N […]).</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Der Beschwerdeführer rügt in formeller Hinsicht, die Vorinstanz habe den Untersuchungsgrundsatz verletzt, indem sie keine genügende Ge- samtwürdigung aller geltend gemachten Vorbringen vorgenommen habe. So verkenne das SEM, dass diese in ihrer Summe und bei einer gesamt- heitlichen Betrachtung sehr wohl asylrechtliche Relevanz entfalten würden. Diese Rüge ist vorab zu prüfen, da sie gegebenenfalls geeignet ist, eine Kassation der vorinstanzlichen Verfügung zu bewirken.</w:t>
      </w:r>
    </w:p>
    <w:p>
      <w:r>
        <w:rPr>
          <w:b/>
        </w:rPr>
        <w:t>E. 4.2</w:t>
      </w:r>
    </w:p>
    <w:p>
      <w:r>
        <w:t>Das Asylverfahren wird vom Untersuchungsgrundsatz beherrscht (Art. 12 VwVG i.V.m. Art. 6 AsylG). Dieser ist verletzt, wenn die Behörde den Sachverhalt nicht von Amtes wegen abgeklärt, oder nicht alle für den Entscheid wesentlichen Sachumstände berücksichtigt hat. Der Untersu- chungsgrundsatz findet seine Grenze jedoch an der Mitwirkungspflicht der gesuchstellenden Person (Art. 8 AsylG, Art. 13 VwVG; vgl. BVGE 2016/2 E. 4.3 m.w.H.).</w:t>
      </w:r>
    </w:p>
    <w:p>
      <w:r>
        <w:rPr>
          <w:b/>
        </w:rPr>
        <w:t>E. 4.3</w:t>
      </w:r>
    </w:p>
    <w:p>
      <w:r>
        <w:t>Nach Durchsicht der Akten kommt das Bundesverwaltungsgericht zum Schluss, dass keine Verletzung des Untersuchungsgrundsatzes ersichtlich ist. Aus der angefochtenen Verfügung geht hervor, dass die Vorinstanz die Vorbringen des Beschwerdeführers gesamtheitlich berücksichtigt hat. Der blosse Umstand, dass der Beschwerdeführer die Beurteilung durch die</w:t>
      </w:r>
    </w:p>
    <w:p>
      <w:r>
        <w:t>D-3724/2025 Seite 6 Vorinstanz nicht teilt, stellt keine Verletzung des Untersuchungsgrundsat- zes dar, sondern beschlägt die Frage der materiellen Würdigung.</w:t>
      </w:r>
    </w:p>
    <w:p>
      <w:r>
        <w:rPr>
          <w:b/>
        </w:rPr>
        <w:t>E. 4.4</w:t>
      </w:r>
    </w:p>
    <w:p>
      <w:r>
        <w:t>Die formelle Rüge erweist sich nach dem Gesagten als unbegründet und eine Rückweisung an die Vorinstanz ist nicht angezeigt.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rPr>
          <w:b/>
        </w:rPr>
        <w:t>E. 6.1</w:t>
      </w:r>
    </w:p>
    <w:p>
      <w:r>
        <w:t>Die Vorinstanz gelangt in der angefochtenen Verfügung zum Schluss, die Vorbringen des Beschwerdeführers hielten den Anforderungen an die Flüchtlingseigenschaft gemäss Art. 3 AsylG nicht stand. Zur Begründung führte sie aus, dem tätlichen Angriff während der Ober- stufe und auch den Erlebnissen während seines Militärdienstes mangle es für die Anerkennung der Flüchtlingseigenschaft der notwendigen Aktualität. Auch aus den geltend gemachten Nachteilen aufgrund seiner kurdischen Ethnie könne er nichts zu seinen Gunsten ableiten, zumal die geschilderten Diskriminierungen, Schikanen und Razzien in ihrer Intensität nicht über die Nachteile hinausgehen würden, welche weite Teile der kurdischen Bevöl- kerung in ähnlicher Weise treffen könnten. Auch das Vorbringen, der Staat habe ihm unrechtmässig und entschädi- gungslos seinen Anteil an der Wohnung weggenommen, entfalte keine flüchtlingsrechtliche Relevanz, zumal diesem Vorbringen kein Motiv nach Art. 3 AsylG zu Grunde liege. Für die Befürchtung des Beschwerdeführers, bei einer Rückkehr in die Tür- kei von den türkischen Behörden verfolgt zu werden, liessen sich aus den Akten keine entsprechenden Hinweise entnehmen. Der Beschwerdeführer</w:t>
      </w:r>
    </w:p>
    <w:p>
      <w:r>
        <w:t>D-3724/2025 Seite 7 habe zwischen den Jahren 2021 und 2023 insgesamt vier Mal legal aus der Türkei ausreisen können, habe sich am (…) März 2023 einen türki- schen Reisepass ausstellen lassen und habe nach seiner illegalen Einreise im Mai 2023 seine Stimme in den Präsidentschaftswahlen in Istanbul ab- geben können. Dies unterstreiche die Annahme, dass der Beschwerdefüh- rer keine flüchtlingsrechtlich relevante Verfolgung seitens des türkischen Staates zu befürchten habe. In Bezug auf die im Falle einer Rückkehr befürchtete Verfolgung durch die PKK hielt die Vorinstanz fest, es sei dem Beschwerdeführer zuzumuten, bei den türkischen Behörden um Schutz zu ersuchen, sollte es zu einer konkreten Bedrohungslage kommen. Es bestünden keine Hinweise darauf, dass der Staat ihm Schutz verweigern würde, zumal der Beschwerdeführer politisch nicht aktiv sowie strafrechtlich unbescholten sei und sich der Staat in der Vergangenheit bereits schutzwillig und -fähig gezeigt habe. Weiter sei die Aktualität der Bedrohungslage nicht ersichtlich. Der Beschwerde- führer habe nach dem Tod seines Vaters noch während 17 Jahren in der Türkei leben können und auch seit dem Besuch seines Bruders im Jahr 2016, nachdem der Beschwerdeführer und seine Familie von der PKK der Spitzeltätigkeit verdächtigt und unter Druck gesetzt worden seien, seien bereits wieder mehrere Jahre vergangen. Dass sich die Bedrohungslage zwischen dem Jahr 2016 und der Ausreise im Jahr 2023 konkretisiert habe, sei den Akten nicht zu entnehmen. Schliesslich sei auch die Bedrohung durch den Onkel als nicht flüchtlings- rechtlich relevant einzustufen, da es an einem in Art. 3 AsylG genannten Motiv mangle. Bei Wahrannahme des Vorbringens sei es dem Beschwer- deführer zuzumuten, den Schutz der türkischen Behörden in Anspruch zu nehmen. Es seien auch in diesem Zusammenhang keine Hinweise ersicht- lich, dass dem Beschwerdeführer der Zugang zu den Schutzstrukturen ver- weigert worden wäre oder in Zukunft verweigert würde. Zudem bestünden ohnehin erhebliche Zweifel an dem Vorbringen, da der Beschwerdeführer bei einer tatsächlichen Bedrohungslage wohl bei seinen Rückreisen nicht genau an den Ort gegangen wäre, wo auch besagter Onkel teilweise wohn- haft sei. Zudem habe er während seines letzten Aufenthalts in der Türkei ein Busticket nach B._______ und damit an einen weiteren Aufenthaltsort seines Onkels wie auch einer PKK-Hochburg gelöst, was ebenfalls Zweifel an einer tatsächlichen Verfolgung durch diese beiden Parteien hervorrufe. Dieses Busticket stehe auch im Widerspruch zu seiner Aussage anlässlich der Anhörung, wonach er während seines Aufenthalts in der Türkei in Is- tanbul geblieben sei.</w:t>
      </w:r>
    </w:p>
    <w:p>
      <w:r>
        <w:t>D-3724/2025 Seite 8</w:t>
      </w:r>
    </w:p>
    <w:p>
      <w:r>
        <w:rPr>
          <w:b/>
        </w:rPr>
        <w:t>E. 6.2</w:t>
      </w:r>
    </w:p>
    <w:p>
      <w:r>
        <w:t>In der Beschwerde wird – weitgehend unter Wiederholung der bisheri- gen Vorbringen – entgegnet, dem Beschwerdeführer drohe in seinem Hei- matstaat eine vielschichtige und komplexe Gefährdungslage, die von un- terschiedlichen Akteuren ausgehe. Er sei Bedrohungen durch Familienan- gehörige, durch die PKK sowie durch den türkischen Staat ausgesetzt. Ihm drohe zudem auch eine Reflexverfolgung, aufgrund seines Vaters, der die PKK unterstützt habe. Dass er im Zusammenhang mit der Bedrohungslage durch den Onkel keine Anzeige erstattet habe, könne ihm nicht angelastet werden, zumal der türkische Staat in seinem Fall nicht schutzwillig sei. Die Bedrohungslage durch die Blutfehde, sei ernst zu nehmen, zumal es jüngst zu einer weiteren Eskalation gekommen und der Sohn des Onkels getötet worden sei. Ferner habe sich die Polizei seit seiner Ausreise mehrmals bei seiner Mutter nach seinem Aufenthaltsort erkundigt und sein Bruder sei bei einer Razzia von der Polizei mitgenommen worden; seither habe die Fami- lie keinerlei Informationen über dessen Verbleib. Die Menschenrechtssitu- ation in der Türkei sei prekär und verschiedenen Quellen zufolge blieben Rechtsverstösse und Misshandlungen durch Sicherheitskräfte in der Tür- kei strafffrei, weshalb die Aussichten des Beschwerdeführers, sich gegen die drohenden Misshandlungen erfolgreich zur Wehr zu setzen, als gering anzusehen seien. Der Auffassung der Vorinstanz, dass seine Wiedereinreisen in die Türkei gegen eine aktuelle Bedrohungslage sprechen würden, sei nicht zu folgen. Vielmehr würden seine Rückkehr und die erneute Flucht eine fortbeste- hende Gefährdung aufzeigen. Zudem sei die Summe der aufgrund seiner kurdischen Ethnie erlebten Diskriminierungen und Schikanierungen, da- runter mehrere Angriffe von Unbekannten, genug, um asylrechtliche Rele- vanz zu entfalten. Auch die derzeit laufenden Verfahren würden seine Si- tuation in der Türkei beeinträchtigen. Insgesamt habe der Beschwerdeführer begründete Furcht vor künftiger Verfolgung, weshalb ihm Asyl zu gewähren sei.</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Die Ausführungen auf Beschwerde- ebene führen zu keiner anderen Betrachtungsweise. Zur Vermeidung von Wiederholungen kann mit den nachfolgenden Ergänzungen auf die zutref- fenden Erwägungen der Vorinstanz verwiesen werden.</w:t>
      </w:r>
    </w:p>
    <w:p>
      <w:r>
        <w:t>D-3724/2025 Seite 9</w:t>
      </w:r>
    </w:p>
    <w:p>
      <w:r>
        <w:rPr>
          <w:b/>
        </w:rPr>
        <w:t>E. 7.2</w:t>
      </w:r>
    </w:p>
    <w:p>
      <w:r>
        <w:t>Entgegen der Auffassung des Beschwerdeführers ist nicht davon aus- zugehen, dass er in der Türkei von dreierlei Fronten in asylrechtlich rele- vanter Weise bedroht wird. Es ist nicht ersichtlich, inwiefern der türkische Staat ein Verfolgungsinteresse an ihm hat. Auch weshalb ihm aufgrund sei- nes im Jahr 2006 verstorbenen Vaters aktuell eine Reflexverfolgung dro- hen soll, bleibt unklar und wird in der Beschwerde sodann auch nicht weiter substantiiert. Indizien dafür, dass ebengerade nicht von einem Verfol- gungsinteresse des türkischen Staats ausgegangen werden muss, sind die vier legalen Ausreisen, dass er sich einen neuen Pass ausstellen lassen konnte und seine Stimme in den Präsidentschaftswahlen hat abgeben kön- nen. Der Beschwerdeführer weist kein politisches Profil auf und den Akten lassen sich keine Hinweise dafür entnehmen, dass er in Zukunft einer Ver- folgung seitens des türkischen Staates zu befürchten hätte.</w:t>
      </w:r>
    </w:p>
    <w:p>
      <w:r>
        <w:rPr>
          <w:b/>
        </w:rPr>
        <w:t>E. 7.3</w:t>
      </w:r>
    </w:p>
    <w:p>
      <w:r>
        <w:t>Zudem hat sich der türkische Staat in der Vergangenheit sowohl als Schutzwillig als auch -fähig gezeigt, indem er einen vom Beschwerdeführer angezeigten Vorfall in der Schule strafrechtlich verfolgt und den Täter ver- urteilt hat. Es ist daher davon auszugehen, dass der Beschwerdeführer, sollte er inskünftig tatsächlich Probleme mit der PKK oder mit Verwandten haben, erneut die Schutzstrukturen des türkischen Staates in Anspruch nehmen kann. An dieser Einschätzung vermögen auch die zitierten Be- richte zur Menschenrechtssituation in der Türkei mangels persönlicher Be- troffenheit des Beschwerdeführers nichts zu ändern. Auch das Vorbringen, dass es in der Familienfehde kürzlich zu einer weiteren Eskalation gekom- men sei, vermag aufgrund der Annahme der Schutzfähigkeit und -willigkeit des türkischen Staates keine flüchtlingsrechtliche Relevanz zu entfalten.</w:t>
      </w:r>
    </w:p>
    <w:p>
      <w:r>
        <w:rPr>
          <w:b/>
        </w:rPr>
        <w:t>E. 7.4</w:t>
      </w:r>
    </w:p>
    <w:p>
      <w:r>
        <w:t>Auch weist der Umstand, dass der Beschwerdeführer zweimal in die Türkei zurückgereist ist und dort je drei Monate in Istanbul – und damit an den Orten, an denen sich auch sein Onkel aufhält – verbrachte, – wie die Vorinstanz zu Recht feststellte – eben gerade nicht auf eine drohende, asylrechtlich relevante Verfolgung hin. Würde tatsächlich eine reelle Ge- fahr einer Verfolgung durch den Onkel bestehen, wäre zu erwarten gewe- sen, dass der Beschwerdeführer die Orte, an denen sich der Onkel generell aufhält, meiden würde und sich in anderen Provinzen in der Türkei aufhal- ten würde.</w:t>
      </w:r>
    </w:p>
    <w:p>
      <w:r>
        <w:rPr>
          <w:b/>
        </w:rPr>
        <w:t>E. 7.5</w:t>
      </w:r>
    </w:p>
    <w:p>
      <w:r>
        <w:t>Sodann entfalten die vom Beschwerdeführer vorgebrachten Schikanen und Diskriminierungen aufgrund seiner kurdischen Herkunft mangels In- tensität ebenfalls keine flüchtlingsrechtlich relevanten Nachteile, zumal be- kannt ist, dass Kurdinnen und Kurden in der Türkei Schikanen und</w:t>
      </w:r>
    </w:p>
    <w:p>
      <w:r>
        <w:t>D-3724/2025 Seite 10 Benachteiligungen ausgesetzt sein können. Die alleinige Tatsache kurdi- scher Ethnie zu sein, führt deshalb nicht bereits zur Feststellung der Flücht- lingseigenschaft und zur Asylgewährung. Praxisgemäss werden hohe An- forderungen für die Annahme einer Kollektivverfolgung gestellt (vgl. BVGE 2014/32 E. 6.1; 2013/12 E. 6), welche im Falle der Kurdinnen und Kurden in der Türkei – auch unter Berücksichtigung der aktuellen politischen Ent- wicklungen – nicht als erfüllt zu erachten sind (vgl. hierzu etwa die Urteile des BVGer E-3393/2023 vom 14. August 2023 E. 7.6 m.w.H.; D-2424/2021 vom 9. Mai 2022 E. 6.2; bestätigt im Referenzurteil E-4103/2024 vom 8. November 2024 E. 7.1).</w:t>
      </w:r>
    </w:p>
    <w:p>
      <w:r>
        <w:rPr>
          <w:b/>
        </w:rPr>
        <w:t>E. 7.6</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D-3724/2025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Das gelingt ihm nach dem Gesag- ten offenkundig nicht.</w:t>
      </w:r>
    </w:p>
    <w:p>
      <w:r>
        <w:t>D-3724/2025 Seite 12</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auszuge- hen. Folglich ist nicht von einer generellen Unzumutbarkeit des Vollzugs von Wegweisungen auszugehen (vgl. Referenzurteil E-4103/2024 vom 8. November 2024 E. 13.2 und statt vieler Urteil des BVGer D-8238/2024 vom 1. Juli 2025 E. 8.4.2).</w:t>
      </w:r>
    </w:p>
    <w:p>
      <w:r>
        <w:rPr>
          <w:b/>
        </w:rPr>
        <w:t>E. 9.3.3</w:t>
      </w:r>
    </w:p>
    <w:p>
      <w:r>
        <w:t>Auch sprechen – wie vom SEM zutreffend dargelegt – keine individu- ellen Gründe gegen den Wegweisungsvollzug. Der Beschwerdeführer stammt aus der Provinz Mardin und hat einen Grossteil seines Lebens in Istanbul verbracht. Er ist jung, gesund, gebildet und verfügt bereits über Arbeitserfahrung. Er hat Familienmitglieder, welche in verschiedenen Or- ten der Türkei wohnhaft sind. Es kann davon ausgegangen werden, dass dieses familiäre Netzwerk ihn bei einer Reintegration unterstützen kann. Vor diesem Hintergrund erscheint es unwahrscheinlich, dass er bei seiner Rückkehr in sozialer oder wirtschaftlicher Hinsicht in eine existenzbedro- hende Lage geraten würde.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w:t>
      </w:r>
    </w:p>
    <w:p>
      <w:r>
        <w:t>D-3724/2025 Seite 13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für die Bezahlung der Verfahrenskosten zu verwenden.</w:t>
      </w:r>
    </w:p>
    <w:p>
      <w:r>
        <w:t>(Dispositiv nächste Seite)</w:t>
      </w:r>
    </w:p>
    <w:p>
      <w:r>
        <w:t>D-3724/2025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