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D-3723/2011 vom 6. September 2011</w:t>
      </w:r>
    </w:p>
    <w:p>
      <w:r>
        <w:t>Bundesverwaltungsgericht, 2011-09-06, DE</w:t>
      </w:r>
    </w:p>
    <w:p>
      <w:r>
        <w:rPr>
          <w:b/>
        </w:rPr>
        <w:t xml:space="preserve">Quelle: </w:t>
      </w:r>
      <w:r>
        <w:t>https://mcp.opencaselaw.ch/entscheid/bvger_D-3723_2011</w:t>
      </w:r>
    </w:p>
    <w:p>
      <w:r>
        <w:t>FR: TAF D-3723/2011 du 6 septembre 2011</w:t>
      </w:r>
    </w:p>
    <w:p>
      <w:r>
        <w:t>IT: TAF D-3723/2011 del 6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 Ausschlaggeben für die Erteilung der Einreisebewilligung ist dabei die Schutzbedürftigkeit der betroffenen Personen (vgl. a.a.O.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5.1</w:t>
      </w:r>
    </w:p>
    <w:p>
      <w:r>
        <w:t>Im Folgenden ist zu prüfen, ob das BFM zu Recht eine unmittelbare Gefahr im Sinne von Art. 20 AsylG verneinte und die Einreise des Beschwerdeführers in die Schweiz verweigerte.</w:t>
      </w:r>
    </w:p>
    <w:p>
      <w:r>
        <w:rPr>
          <w:b/>
        </w:rPr>
        <w:t>E. 5.2.1</w:t>
      </w:r>
    </w:p>
    <w:p>
      <w:r>
        <w:t>Der Beschwerdeführer machte in der Befragung vom 24. Februar 2011 sowie in der Rechtsmittelschrift zum einen geltend, nachdem er sich im Dezember 1992 der Gendarmerie gestellt habe, sei er im Gewahrsam auf verschiedene Weise misshandelt worden. Mit Urteil des Staatssicherheitsgerichts in D._______ vom 19. April 1993 sei er dann wegen Mitgliedschaft bei der PKK und Teilnahme an deren Aktionen zu sechzehn Jahren und acht Monaten Haft verurteilt worden. Im September 2007 sei er auf Bewährung freigelassen worden.</w:t>
      </w:r>
    </w:p>
    <w:p>
      <w:r>
        <w:rPr>
          <w:b/>
        </w:rPr>
        <w:t>E. 5.2.2</w:t>
      </w:r>
    </w:p>
    <w:p>
      <w:r>
        <w:t>Diesbezüglich ist übereinstimmend mit der Vorinstanz festzuhalten, dass diese Vorbringen zu weit zurückliegen, um noch asylrelevant zu sein, weshalb es sich erübrigt, weiter darauf einzugehen.</w:t>
      </w:r>
    </w:p>
    <w:p>
      <w:r>
        <w:rPr>
          <w:b/>
        </w:rPr>
        <w:t>E. 5.3.1</w:t>
      </w:r>
    </w:p>
    <w:p>
      <w:r>
        <w:t>Zum anderen brachte der Beschwerdeführer anlässlich der Befragung vom 24. Februar 2011 sowie in der Beschwerde vor, er sei am 13. Oktober 2010 erneut verhaftet und bis am 18. Januar 2011 in Untersuchungshaft gesetzt worden. Ihm werde zu Unrecht Drogenhandel vorgeworfen. Aufgrund seiner politischen Vergangenheit behaupte die Polizei, er habe Leuten Drogen verkauft. Gemäss der sich bei den Akten befindenden Anklageschrift der Staatsanwaltschaft von E._______ vom 14. Mai 2009 wird dem Beschwerdeführer die Gründung einer Organisation mit der Absicht, Straftaten zu begehen, Mitgliedschaft bei einer Organisation sowie Drogenhandel im Rahmen der Aktivitäten der Organisation vorgeworfen. Dieses Verfahren ist gemäss den dem Gericht vorliegenden Akten noch immer erstinstanzlich hängig.</w:t>
      </w:r>
    </w:p>
    <w:p>
      <w:r>
        <w:rPr>
          <w:b/>
        </w:rPr>
        <w:t>E. 5.3.2</w:t>
      </w:r>
    </w:p>
    <w:p>
      <w:r>
        <w:t>Bezüglich dieses Gerichtsverfahrens liegen keine konkreten Anhaltspunkte dafür vor, die eine Verurteilung aus asylrechtlich relevanten Motiven erwarten liessen. Diesbezüglich ist insbesondere darauf hinzuweisen, dass aus der auszugsweise vorliegenden Übersetzung des mit der Beschwerde eingereichten Protokolls der Verhandlung vom 27. Mai 2011 vor dem Schwurgericht F._______ ersichtlich ist, dass sich der Beschwerdeführer an der Verhandlung vom 27. Mai 2011 vor dem Schwurgericht zu den gegen ihn erhobenen Vorwürfen äussern konnte. Der teilweisen Übersetzung des Protokolls lässt sich zudem entnehmen, dass an der Verhandlung vom 27. Mai 2011 zwei Mitangeklagte des Beschwerdeführers zu dessen Person befragt wurden und sie übereinstimmend aussagten, dass es sich beim Beschwerdeführer nicht um den "(...)" handle, der ihnen die Drogen verkauft habe. Insgesamt weisen die Akten somit auf ein rechtsstaatlich korrekt durchgeführtes Verfahren hin. Für die Behauptung des Beschwerdeführers, wonach es sich bei diesem Gerichtsverfahren um ein Komplott gegen ihn handle, da er früher Mitglied der PKK gewesen sei, finden sich in den Akten keine Hinweise. In Übereinstimmung mit der Vorinstanz ist daher festzuhalten, dass es dem Beschwerdeführer nicht gelungen ist, glaubhaft zu machen, dass er in der Türkei nicht wegen eines gemeinrechtlichen, sondern wegen eines politischen Deliktes belangt wird. Aufgrund der übereinstimmenden Aussagen der beiden Mitangeklagten, wonach der Beschwerdeführer nicht der "(...)" sei, besteht überdies die Möglichkeit, dass der Beschwerdeführer von den in der Anklageschrift der Staatsanwaltschaft von E._______ vom 14. Mai 2009 aufgeführten Vorwürfen freigesprochen wird. Insbesondere, wenn es zutreffen sollte, dass er - wie behauptet - die vorgeworfenen Taten nicht begangen hat. Sollte er verurteilt werden, steht ihm immer noch der Weg offen, Beschwerde zu erheben und den Entscheid gerichtlich überprüfen zu lassen. Im Weiteren ist festzuhalten, dass der Beschwerdeführer gemäss eigenen Aussagen am 18. Januar 2011 aus der Untersuchungshaft entlassen wurde und sich seither in Freiheit befindet, was ebenfalls darauf hindeutet, dass er aufgrund des hängigen Gerichtsverfahrens keine nennenswerten Nachteile zu befürchten hat. Sollte der Beschwerdeführer im hängigen Gerichtsverfahren schuldig gesprochen und dazu verurteilt werden, die bedingt erlassene Strafe von vier Jahren und zwei Monaten zu verbüssen, wäre auch das nicht als politisch motivierte Verfolgung zu qualifizieren, zumal der Beschwerdeführer durch sein deliktisches Verhalten (Drogenhandel) den Grund dafür gesetzt hätte.</w:t>
      </w:r>
    </w:p>
    <w:p>
      <w:r>
        <w:rPr>
          <w:b/>
        </w:rPr>
        <w:t>E. 5.4</w:t>
      </w:r>
    </w:p>
    <w:p>
      <w:r>
        <w:t>Anlässlich der Befragung vom 24. Februar 2011 sowie in der Rechtsmittelschrift und der Eingabe vom 22. August 2011 machte der Beschwerdeführer im Weiteren geltend, sein Haus sei bisher dreimal durchsucht und er sei mehr als zehnmal unter verschiedenen Vorwänden zur Gendarmerie gerufen worden, wo er verhört worden sei und man versucht habe, ihn als Agenten anzuwerben. Ausserdem werde er beobachtet und seine Telefone würden abgehört. Aus Angst wohne er nicht mehr regelmässig in seinem Haus, sondern halte sich bei verschiedenen Verwandten auf. Diesbezüglich ist festzustellen, dass diese Eingriffe in ihrer Art und Weise zu wenig intensiv sind, um als ernsthafte Nachteile im Sinne von Art. 3 Abs. 2 AsylG gelten zu können, weshalb es sich erübrigt, weiter darauf einzugehen.</w:t>
      </w:r>
    </w:p>
    <w:p>
      <w:r>
        <w:rPr>
          <w:b/>
        </w:rPr>
        <w:t>E. 5.5</w:t>
      </w:r>
    </w:p>
    <w:p>
      <w:r>
        <w:t>In der Rechtsmittelschrift brachte der Beschwerdeführer vor, er sei vor einigen Jahren misshandelt worden, als er sich geweigert habe, Militärdienst zu leisen. Nach einem Monat Haft sei er schliesslich aus dem Militärdienst entlassen worden. Dazu ist festzuhalten, dass dieses Vorbringen als nachgeschoben und damit unglaubhaft zu beurteilen ist, zumal der Beschwerdeführer Derartiges anlässlich der Befragung mit keinen Wort erwähnte. Es kann daher verzichtet werden, weiter darauf einzugehen.</w:t>
      </w:r>
    </w:p>
    <w:p>
      <w:r>
        <w:rPr>
          <w:b/>
        </w:rPr>
        <w:t>E. 5.6</w:t>
      </w:r>
    </w:p>
    <w:p>
      <w:r>
        <w:t>Zusammenfassend ist festzustellen, dass es dem Beschwerdeführer nicht gelungen ist, eine aktuelle Gefährdung aus asylrechtlich relevanten Motiven aufzuzeigen, die die Bewilligung der Einreise in die Schweiz rechtfertigen würde. Die Schutzbedürftigkeit des Beschwerdeführers im Sinne von Art. 20 i.V.m. Art. 3 AsylG ist als nicht gegeben zu qualifizieren. Im Übrigen ist auch eine Beziehungsnähe des Beschwerdeführers zur Schweiz zu verneinen (Art. 52 Abs. 2 AsylG). Es erübrigt sich, auf die weiteren Vorbringen in der Beschwerde sowie der Eingabe vom 22. August 2011 einzugehen, da diese am Ergebnis nichts zu ändern vermögen. Das BFM hat dem Beschwerdeführer zu Recht die Einreise in die Schweiz verweigert und das Asylgesuch abgelehnt.</w:t>
      </w:r>
    </w:p>
    <w:p>
      <w:r>
        <w:rPr>
          <w:b/>
        </w:rPr>
        <w:t>E. 6</w:t>
      </w:r>
    </w:p>
    <w:p>
      <w:r>
        <w:t>Aus diesen Erwägungen ergibt sich, dass die angefochtene Verfügung Bundesrecht nicht verletzt, den rechtserheblichen Sachverhalt im Ergebnis richtig und vollständig feststellt und angemessen ist (Art. 106 Abs. 1 AsylG). Die Beschwerde ist deshalb abzuweisen.</w:t>
      </w:r>
    </w:p>
    <w:p>
      <w:r>
        <w:rPr>
          <w:b/>
        </w:rPr>
        <w:t>E. 7</w:t>
      </w:r>
    </w:p>
    <w:p>
      <w:r>
        <w:t>Bei diesem Ausgang des Verfahrens wären dessen Kosten grundsätzlich dem Beschwerdeführer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