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D-3721/2023 vom 12. Juli 2023</w:t>
      </w:r>
    </w:p>
    <w:p>
      <w:r>
        <w:t>Bundesverwaltungsgericht, 2023-07-12, DE</w:t>
      </w:r>
    </w:p>
    <w:p>
      <w:r>
        <w:rPr>
          <w:b/>
        </w:rPr>
        <w:t xml:space="preserve">Quelle: </w:t>
      </w:r>
      <w:r>
        <w:t>https://mcp.opencaselaw.ch/entscheid/bvger_D-3721_2023</w:t>
      </w:r>
    </w:p>
    <w:p>
      <w:r>
        <w:t>FR: TAF D-3721/2023 du 12 juillet 2023</w:t>
      </w:r>
    </w:p>
    <w:p>
      <w:r>
        <w:t>IT: TAF D-3721/2023 del 12 luglio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rügt in formeller Hinsicht, die Vorinstanz habe das rechtliche Gehör verletzt beziehungsweise den Sachverhalt unvoll- ständig und falsch festgestellt (Menschenrechtslage in der Türkei, Daten- blatt / Fichierung) beziehungsweise die Sach- und Beweislage willkürlich gewürdigt. Insbesondere habe sie das rechtliche Gehör betreffend Terror- propagandaverfahren nicht gewährt, ein solches mit keinem Wort erwähnt, wie auch die eingereichten Beweise nicht zur Kenntnis genommen (Be- schwerde S. 11 ff.).</w:t>
      </w:r>
    </w:p>
    <w:p>
      <w:r>
        <w:t>D-3721/2023 Seite 5</w:t>
      </w:r>
    </w:p>
    <w:p>
      <w:r>
        <w:rPr>
          <w:b/>
        </w:rPr>
        <w:t>E. 4.2</w:t>
      </w:r>
    </w:p>
    <w:p>
      <w:r>
        <w:t>Wie sich aus nachstehenden Erwägungen ergibt, hat die Vorinstanz den vorliegenden Sachverhalt insgesamt rechtsgenüglich abgeklärt und sich hinreichend differenziert mit den zentralen Vorbringen wie auch mit den zahlreich eingereichten Beweismitteln des Beschwerdeführers ausei- nandergesetzt respektive sie antizipiert. Es liegt keine Verletzung des rechtlichen Gehörs vor, zumal insbesondere zum Verfahren wegen Terror- propaganda explizit das rechtliche Gehör am 21. Februar 2023 gewährt und vom Beschwerdeführer wahrgenommen wurde (A37/2; A42/5; vorste- hend Sachverhalt D). Der Beschwerdeführer bemängelt alsdann die vorin- stanzliche Einschätzung der Lage in der Türkei, seines Profils und des strafrechtlichen Verfahrens in der Türkei, was Fragen der rechtlichen Wür- digung betreffen beziehungsweise die materielle Entscheidung beschla- gen: die Beurteilung der Vorinstanz beruht weder auf einer unrichtigen oder unvollständigen Sachverhaltsfeststellung noch auf einer willkürlichen Wür- digung der Sach- und Beweislage.</w:t>
      </w:r>
    </w:p>
    <w:p>
      <w:r>
        <w:rPr>
          <w:b/>
        </w:rPr>
        <w:t>E. 4.3</w:t>
      </w:r>
    </w:p>
    <w:p>
      <w:r>
        <w:t>Die formellen Rügen erweisen sich nach dem Gesagten als unbegrün- det und es besteht keine Veranlassung, die Verfügung aus formellen Grün- den aufzuheben und die Sache an die Vorinstanz zurückzuweisen.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D-3721/2023 Seite 6</w:t>
      </w:r>
    </w:p>
    <w:p>
      <w:r>
        <w:rPr>
          <w:b/>
        </w:rPr>
        <w:t>E. 6.1</w:t>
      </w:r>
    </w:p>
    <w:p>
      <w:r>
        <w:t>Die Vorinstanz begründete ihren ablehnenden Entscheid mit der feh- lenden Asylrelevanz der Vorbringen des Beschwerdeführers. Aus den ein- gereichten Beweismitteln gehe zwar hervor, dass der Anzeigeerstatter dem Beschwerdeführer Verbindungen zur Arbeiterpartei Kurdistans (kurdisch Partiya Karkerên Kurdistanê; PKK) und zum amerikanischen Klerus sowie deren Unterstützung auf Facebook vorwerfe. Der Beschwerdeführer sei von der Staatsanwaltschaft Batman am 4. Januar 2022 jedoch einzig we- gen «Beleidigung des Staatspräsidenten» angeklagt worden, trotz der in den Ermittlungsakten vorliegenden (teilweise schwer leserlichen) kritisie- renden und beleidigenden Posts gegenüber dem türkischen Staatspräsi- denten. In der Anklageschrift werde ihm entgegen seiner Behauptung be- ziehungsweise seiner Mutmassung weder Terrorpropaganda vorgeworfen noch seien die beiden Ermittlungsverfahren zusammengelegt worden. Das Gericht habe am 12. Januar 2022 eine Anklage – einzig wegen Präsiden- tenbeleidigung – entgegengenommen und da der Beschwerdeführer an der dritten Gerichtstagung (29. November 2022) erneut nicht erschienen sei, habe es einen Festnahmebefehl zwecks seiner Einvernahme ausge- stellt, ebenfalls mit dem einzigen Vorwurf der Beleidigung des Präsidenten (Art. 299/1 des türkischen Strafgesetzbuches; tStGB). Der Beschwerdefüh- rer habe kein politisches Profil und sich bisher in der Türkei keiner Straftat schuldig gemacht. Deshalb bestehe trotz Festnahmebefehl keine beachtli- che Wahrscheinlichkeit, dass er in der Türkei in absehbarer Zeit flüchtlings- rechtliche Verfolgungsmassnahmen zu befürchten hätte. Zwar würden Per- sonen mit einem Festnahme- beziehungsweise Vorführbefehl bei der Ein- reise angehalten und müssten dem zuständigen Staatsanwalt oder Gericht zwecks Befragung zugeführt werden. Danach würden Personen, die wie er wegen Art. 299 tStGB strafrechtlich verfolgt würden, nach den heute gülti- gen gesetzlichen Grundlagen jedoch in der Regel freigelassen und nicht in Untersuchungshaft versetzt, da es sich nicht um Delikte handle, bei wel- chen das Vorliegen eines Haftgrundes gemäss Art. 100 Abs. 3 der tStPO bejaht werde. Eine Verurteilung sei im heutigen Zeitpunkt noch nicht ab- sehbar und die Wahrscheinlichkeit im Falle einer solchen zu einer unbe- dingten Haftstrafe gering. Türkische Gerichte würden bei Ersttätern und Strafen bis zu zwei Jahren häufig entweder bedingte Haftstrafen ausspre- chen (Artikel 51 Abs. 1 tStGB) oder die Verkündung des Urteils aufschie- ben (Artikel 231 Abs. 5 tStPO). Das Strafmass für eine Verurteilung wegen Präsidentenbeleidigung betrage in der Regel zwei Jahre oder weniger, wo- bei mit einer bedingten Haftstrafe oder einem Aufschub der Verkündung des Urteils zu rechnen sei und in diesem Zusammenhang angeordnete Be- währungsauflagen zudem flüchtlingsrechtlich nicht relevant seien (zeitliche</w:t>
      </w:r>
    </w:p>
    <w:p>
      <w:r>
        <w:t>D-3721/2023 Seite 7 Beschränkung) und sie der geforderten Intensität der Verfolgungsmass- nahmen nicht genügten. Ferner sei davon auszugehen, dass er eine allfäl- lig trotzdem unbedingt ausgesprochene Haftstrafe aufgrund der türkischen Strafvollzugsgesetzgebung und-praxis nicht in Haft verbüssen müsste. Mit erwähntem Strafmass verurteilte Personen würden direkt in den offenen Strafvollzug eingewiesen. Im Weiteren seien die gegen ihn erhobenen Vorwürfe nicht offensichtlich haltlos, da die von ihm geteilten oder «gelikeden» Veröffentlichungen auch in der Schweiz als Ehrverletzung im Sinne von Art. 173 StGB angesehen werden könnten. Insgesamt müsse er aufgrund der gegen ihn erhobenen Anklage nicht mit erheblicher Wahrscheinlichkeit eine flüchtlingsrechtliche relevante Verfol- gung bei einer Rückkehr in die Türkei befürchten, zumal er kein geschärf- tes politisches Profil aufweise, sich die Facebook Beiträge auf einen Zeit- raum zwischen 2015 und 2018 beziehen und sich auf das Kommentieren und «Liken» beschränken würden. Auch das im Jahr 2014 eingeleitete Ver- fahren, über das er selbst nach neun Jahren nichts Konkretes berichten könne, stelle kein Indiz gegen diese Schlussfolgerung dar. Seine Vorbrin- gen hielten den Anforderungen an die Flüchtlingseigenschaft nach Art. 3 AsylG nicht stand.</w:t>
      </w:r>
    </w:p>
    <w:p>
      <w:r>
        <w:rPr>
          <w:b/>
        </w:rPr>
        <w:t>E. 6.2</w:t>
      </w:r>
    </w:p>
    <w:p>
      <w:r>
        <w:t>In der Beschwerdeschrift wurde dem entgegengehalten, die Repres- sion gegen kritische Personen in der Türkei werde immer harscher. Zu Tau- senden würden HPD Mitglieder, auch unterer Kader, verhaftet und einfache Kritiker würden Haft und Folter erwarten. Es seien die allgemeinen UNO- Berichte und Lageanalysen von «NGOs» bezüglich der allgemeinen Men- schrechtslage zu beachten und es sei auf den Bericht der türkischen Men- schenrechtsorganisation Human Rights Association (IHD) vom 19. Mai 2020 hinzuweisen. Vor diesem Hintergrund sei es wahrscheinlich, dass der Beschwerdeführer diesen staatlichen Repressionen ausgesetzt werde. Es würden entgegen der Behauptung der Vorinstanz auch heute noch Ein- träge mit abwertenden Bemerkungen in der Datenbank GBTS geführt und der Beschwerdeführer müsse mit hoher Wahrscheinlichkeit von einer Fichierung seinerseits ausgehen, da er von 2019 bis heute politisch aktiv gewesen sei. Er sei 2019 zwar nicht verurteilt worden, jedoch stünden die Festnahme- und Haftbeschlüsse im Zusammenhang mit Strafverfahren po- litischer Natur, weshalb von der Gefahr einer Verhaftung auszugehen sei. Beim Putschversuch im Jahr 2016 seien auch zehntausende Unbeschol- tene verhaftet und gefoltert worden, die vorher nie behelligt worden seien.</w:t>
      </w:r>
    </w:p>
    <w:p>
      <w:r>
        <w:t>D-3721/2023 Seite 8 Der türkische Staat sei übereifrig und die Unabhängigkeit der Justiz exis- tiere nicht mehr. Zudem hätten türkische Anti-Terror-Einheiten im Juni 2023 frühmorgens zwei Razzien bei den Eltern des Beschwerdeführers durch- geführt und deren Wohnung verwüstet. Die Eltern hätten ihm berichtet, dass er zur Sicherheitsdirektion kommen und «sich ergeben müsse». Auf- grund der Verwüstung der Wohnung sei davon auszugehen, dass gegen den Beschwerdeführer wegen Terrorpropaganda ein oder mehrere Verfah- ren eröffnet worden seien, auch wenn keine solchen auf UYAP aktuell er- sichtlich seien, da sie der Geheimhaltung der Staatsanwaltschaften unter- stehen könnten. Was die Facebook Posts anbelange, seien diese «wirklich sehr» regime- kritisch. Auch wenn aus diesen Dokumenten nicht ersichtlich, sei höchst- wahrscheinlich mit einem Ermittlungsverfahren wegen Terrorpropaganda zu rechnen und es sei klar, dass Ermittlungen gegen ihn aufgrund einer möglichen Beleidigung und Ehrverletzung oder Erniedrigung des türki- schen Staates geführt würden, wobei das Strafmass bei einer Verurteilung ein bis vier Jahre beziehungsweise sechs Monate bis zwei Jahre Haft be- trage. Den Beschwerdeführer würde daher eine unmenschliche Behand- lung im Gefängnis erwarten. Zudem würden Kommentare zu Links eher gefährlich eingestuft und der Beschwerdeführer sei strafrechtlich vorbelas- tet, weshalb er mit einer unbedingten, mehrjährigen Haftstrafe rechnen müsse. Es seien mehrere politisch motivierte Ermittlungsverfahren einge- leitet worden und zusätzlich liege ein Festnahme- beziehungsweise Vor- führungsbefehl vor. Der Beschwerdeführer sei jahrzehntelang regierungs- kritisch politisch tätig gewesen. Es sei eine flüchtlingsrechtlich relevante Verfolgung zu befürchten.</w:t>
      </w:r>
    </w:p>
    <w:p>
      <w:r>
        <w:rPr>
          <w:b/>
        </w:rPr>
        <w:t>E. 7.1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6.1 hiervor verwiesen werden. Die Ausführungen auf Beschwerdeebene führen zu keiner anderen Betrachtungsweise. Auf die Entgegnungen in der Beschwerde ist im Folgenden näher einzugehen.</w:t>
      </w:r>
    </w:p>
    <w:p>
      <w:r>
        <w:rPr>
          <w:b/>
        </w:rPr>
        <w:t>E. 7.2</w:t>
      </w:r>
    </w:p>
    <w:p>
      <w:r>
        <w:t>Mit der Beschwerde werden weder neue Tatsachen vor- noch neue Beweismittel eingebracht. Bei den fremdsprachigen Beschwerdebeilagen handelt es sich um bereits in den vorinstanzlichen Akten befindliche</w:t>
      </w:r>
    </w:p>
    <w:p>
      <w:r>
        <w:t>D-3721/2023 Seite 9 Dokumente, wobei die Beilagen 3 und 4 sowie 5 und 7 zudem identische beziehungsweise doppelte Eingaben sind. Alsdann weist der Beschwerdeführer zur Stützung seiner Vorbringen auf öffentlich zugängliche Berichte (Repressionen) und den Putschversuch im Jahr 2016 hin, welche keinen persönlichen Zusammenhang zu ihm aufweisen und er damit nichts zu seinen Gunsten ableiten kann. Die bisherigen strafrechtlichen Ermittlungen wurden infolge einer privaten Anzeige eingeleitet und waren umfangreicher Art, jedoch wurde einzig Anklage wegen Präsidentenbeleidigung erhoben beziehungsweise die (übrigen) Ermittlungsverfahren eingestellt (vi-Entscheid, S. 5). Es ist mit der Vorinstanz festzuhalten, dass aufgrund der Akten kein flüchtlingsrechtlich relevantes politisches Profil des Beschwerdeführers gegeben ist. In diesem Zusammenhang hat die Vorinstanz das zu erwartende Strafmass mit konkretem Bezug zum Beschwerdeführer zutreffend abgewogen. Aufgrund des Verneinens einer flüchtlingsrechtlich relevanten Intensität der entsprechenden zu befürchtenden Nachteile kann offenbleiben, ob es sich, wie von der Vorinstanz erwogen, bei einer allfälligen strafrechtlichen Verurteilung wegen ehrverletzender Beiträge auf Facebook um eine rechtsstaatlich legitime Massnahme handelt. Auf Beschwerdeebene brachte der Beschwerdeführer keine Beweise oder Informationen zu einer anderen Anklageerhebung, als derjenigen der Präsidentenbeleidigung ein, wobei das behauptete Strafverfahren wegen Terrorpropaganda bereits im vorinstanzlichen Verfahren nur auf Vermutungen basierte (A42/5; A43/9, F32 ff., insbesondere F41 f.). Aus den angeblichen Razzien bei seinen Eltern kann jedenfalls nicht auf ein solches Verfahren geschlossen werden, zumal ein Festnahmebefehl vorliegt, weil der Beschwerdeführer unbestritten nicht zu den gerichtlichen Einvernahmen erschien und daher eine Suche nach ihm nicht unerwartet ist. Alsdann widerspricht die Behauptung der «strafrechtlichen Vorbelastung» den Akten wie auch den zutreffenden vorinstanzlichen Feststellungen und entbehrt mangels bisheriger Verurteilung einer Grundlage. Aufgrund der Teilnahmen an Demonstrationen, Newroz-Feierlichkeiten oder Besuche des Parteilokals ist nicht ohne Weiteres von einem flüchtlingsrechtlich relevanten politischen Profil auszugehen, zumal der Beschwerdeführer vor den Verfahren im Jahr 2019 gemäss eigenen Angaben nie Probleme mit den türkischen Behörden gehabt hat (A43/9, F15). Ebenso ist ein Hinweis auf ein Strafverfahren aus dem Jahr 2014, zu welchem der Beschwerdeführer nach wie vor keinerlei Informationen hat (A43/9, F25) unbehelflich. Wie von der Vorinstanz zutreffend festgestellt, wurde er bisher deswegen nicht belangt und die türkischen Behörden dürften wohl infolge Zeitablaufs auch weiterhin kein (massgebliches) Interesse an ihm haben.</w:t>
      </w:r>
    </w:p>
    <w:p>
      <w:r>
        <w:t>D-3721/2023 Seite 10 Es ist angesichts des fehlenden massgeblichen Profils des Beschwerde- führers sowie mangels Hinweisen aus den Akten jedenfalls nicht davon auszugehen, die türkischen Behörden würden ein geheimes Datenblatt über oder ein Geheimverfahren gegen ihn führen. Es besteht aufgrund des Gesagten kein hinreichender Grund zur Annahme einer im Zeitpunkt der Ausreise bestandenen oder zukünftigen asylbeacht- lichen Verfolgung. Den Asylvorbringen fehlt es insgesamt an der notwendigen Intensität und teilweise an der Gezieltheit; sie stellen keine ernsthaften Nachteile im Sinne des Asylgesetzes dar.</w:t>
      </w:r>
    </w:p>
    <w:p>
      <w:r>
        <w:rPr>
          <w:b/>
        </w:rPr>
        <w:t>E. 7.3</w:t>
      </w:r>
    </w:p>
    <w:p>
      <w:r>
        <w:t>Der auf subjektive Nachfluchtgründe Bezug nehmende Eventualantrag (Rechtsbegehren Ziff. 1 Bst. e; Art. 54 AsylG) bleibt in der Beschwerde unbegründet. Allfällige exilpolitische Tätigkeiten – wie Facebook-Posts aus der Schweiz – gehen weder aus den Akten hervor noch werden solche auf Beschwerdeebene vorgebracht. Es besteht demgemäss kein Anlass zur Prüfung subjektiver Nachfluchtgründe im Sinne von Art. 54 AsylG. Der entsprechende Subeventualantrag ist abzuweisen.</w:t>
      </w:r>
    </w:p>
    <w:p>
      <w:r>
        <w:rPr>
          <w:b/>
        </w:rPr>
        <w:t>E. 7.4</w:t>
      </w:r>
    </w:p>
    <w:p>
      <w:r>
        <w:t>Aufgrund des Gesagten ist es dem Beschwerdeführer nicht gelungen, eine bereits erlittene oder eine künftig drohende asylrechtlich relevante Verfolgung nachzuweisen oder glaubhaftzumachen. Die Vorinstanz hat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D-3721/2023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w:t>
      </w:r>
    </w:p>
    <w:p>
      <w:r>
        <w:t>D-3721/2023 Seite 12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in der Türkei lässt den Wegweisungsvollzug zum heu- tigen Zeitpunkt nicht als unzulässig erscheinen. Nach dem Gesagten ist der Vollzug der Wegweisung sowohl im Sinne der landes- als auch der völ- 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Umzug in diese Provinzen im Allgemei- nen als unzumutbar im Sinne von Artikel 83 Absatz 4 AIG.</w:t>
      </w:r>
    </w:p>
    <w:p>
      <w:r>
        <w:t>D-3721/2023 Seite 13 Der Beschwerdeführer stammt aus der Provinz Batman, die nicht von den Erdbeben betroffen ist. Der 39-jährige, gesunde sowie arbeitsfähige Be- schwerdeführer lebte bis zu seiner Ausreise mit seinem Vater und weiteren acht Geschwistern in einem dreistöckigen Haus mit Garten im gleichen Haushalt und pflegt nach wie vor Kontakt zu seiner Familie (A25/14, F19 ff.). Der Familie gehe es gemäss eigenen Angaben gut und sie habe keine finanziellen Sorgen. Sein Vater sei Geschäftsinhaber einer Tankstelle und vermiete sowohl Wohnungen, wie auch Felder seiner Ländereien. Der Be- schwerdeführer hat bis zur Ausreise in der Tankstelle wie auch zuvor auf den Ländereien der Familie gearbeitet (Traktorvertretung mit Service, Ver- kauf und Wartungen), weshalb bei einer Rückkehr davon auszugehen ist, dass er zu seiner Familie und seiner Anstellung zurückkehren kann oder aufgrund seiner Berufserfahrung bald eine neue solche finden wird. Es kann demgemäss von seiner gesicherten Wohnsituation ausgegangen werden und es ist aufgrund dieser Ausgangslage nicht anzunehmen, er gerate nach seiner Rückkehr in die Türkei in eine existenzielle Notlage.</w:t>
      </w:r>
    </w:p>
    <w:p>
      <w:r>
        <w:rPr>
          <w:b/>
        </w:rPr>
        <w:t>E. 9.4.3</w:t>
      </w:r>
    </w:p>
    <w:p>
      <w:r>
        <w:t>Andere individuelle Gründe, die gegen einen Wegweisungsvollzug sprechen, sind nicht ersichtlich. Aus den medizinischen Akten des vorin- stanzlichen Verfahrens gehen nebst einer mittelgradigen Schwerhörigkeit seit der Kindheit (beispielsweise A29/2) keine gesundheitlichen Beschwer- den hervor und wurden auch nicht geltend gemacht.</w:t>
      </w:r>
    </w:p>
    <w:p>
      <w:r>
        <w:rPr>
          <w:b/>
        </w:rPr>
        <w:t>E. 9.4.4</w:t>
      </w:r>
    </w:p>
    <w:p>
      <w:r>
        <w:t>Nach dem Gesagten erweist sich der Vollzug der Wegweisung als zumutbar.</w:t>
      </w:r>
    </w:p>
    <w:p>
      <w:r>
        <w:rPr>
          <w:b/>
        </w:rPr>
        <w:t>E. 9.5</w:t>
      </w:r>
    </w:p>
    <w:p>
      <w:r>
        <w:t>Schliesslich obliegt es dem Beschwerdeführer, der im Besitz der Origi- nale seiner türkischen Identitätskarte und seines türkischen Reisepasses ist,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9.6.1</w:t>
      </w:r>
    </w:p>
    <w:p>
      <w:r>
        <w:t>Zusammenfassend hat das SEM den Wegweisungsvollzug zu Recht als zulässig, zumutbar und möglich bezeichnet. Die Anordnung der vorläu- figen Aufnahme fällt somit ausser Betracht (Art. 83 Abs. 1–4 AIG).</w:t>
      </w:r>
    </w:p>
    <w:p>
      <w:r>
        <w:rPr>
          <w:b/>
        </w:rPr>
        <w:t>E. 9.6.2</w:t>
      </w:r>
    </w:p>
    <w:p>
      <w:r>
        <w:t>Insoweit sich der Eventualantrag auf eine vorläufige Aufnahme (Rechtsbegehren Ziff. 1 Bst. 2) hinsichtlich des Wegweisungsvollzugs</w:t>
      </w:r>
    </w:p>
    <w:p>
      <w:r>
        <w:t>D-3721/2023 Seite 14 bezieht, ist er aufgrund des Gesagten – wie auch bereits wegen mangeln- der Substantiierung – abzuweisen.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der geltend gemachten Fürsorgeabhän- gigkeit – abzuweisen ist. 11.2 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D-3721/2023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Beschwerde hat sich als von vornherein aussichtslos erwiesen, weshalb das mit der Beschwerde gestellte Gesuch um Gewährung der unentgeltlichen Prozessführung - unabhängig von der geltend gemachten Fürsorgeabhängigkeit - abzuweisen ist.</w:t>
      </w:r>
    </w:p>
    <w:p>
      <w:r>
        <w:rPr>
          <w:b/>
        </w:rPr>
        <w:t>E. 11.2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