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D-371/2010 vom 18. Juli 2011</w:t>
      </w:r>
    </w:p>
    <w:p>
      <w:r>
        <w:t>Bundesverwaltungsgericht, 2011-07-18, DE</w:t>
      </w:r>
    </w:p>
    <w:p>
      <w:r>
        <w:rPr>
          <w:b/>
        </w:rPr>
        <w:t xml:space="preserve">Quelle: </w:t>
      </w:r>
      <w:r>
        <w:t>https://mcp.opencaselaw.ch/entscheid/bvger_D-371_2010</w:t>
      </w:r>
    </w:p>
    <w:p>
      <w:r>
        <w:t>FR: TAF D-371/2010 du 18 juillet 2011</w:t>
      </w:r>
    </w:p>
    <w:p>
      <w:r>
        <w:t>IT: TAF D-371/2010 del 18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beantragt eventualiter die Rückweisung der Sa­che an die Vorinstanz zur Neubeurteilung. Das BFM habe es unterlas­sen, alle für die Entscheidfindung relevanten Umstände zu berücksichti­gen. Über diesen Antrag ist sachlogisch an erster Stelle zu befinden.</w:t>
      </w:r>
    </w:p>
    <w:p>
      <w:r>
        <w:rPr>
          <w:b/>
        </w:rPr>
        <w:t>E. 4.2</w:t>
      </w:r>
    </w:p>
    <w:p>
      <w:r>
        <w:t>Das BFM hat den Beschwerdeführer summarisch befragt und in der Folge angehört. Am Schluss der Anhörung erklärte der Beschwerdefüh­rer, seine Fluchtgründe abschliessend vorgebracht zu haben (A 10/14 Ant­wort 105). Im angefochtenen Entscheid ging das BFM auf den bevorste­henden Militärdienst, das politische Engagement des Beschwerde­führers und auch auf die ethnische Zugehörigkeit ein. Die gel­tend gemachten Behelligungen wegen des in die Schweiz geflohenen Cousins erachtete das BFM in der geltend gemachten Form für nicht glaub­haft. Vor diesem Hintergrund ist nicht nachvollziehbar, welche Sach­verhaltselemente vom BFM nicht respektive nicht hinreichend berücksich­tigt worden sein sollten. Es trifft zwar zu, dass das BFM das politische Pro­fil des in die Schweiz geflohenen Cousins in der Verfügung nicht nä­her darlegte. Dessen Profil erscheint bei der geprüften Reflexverfolgung hin­sichtlich des Beschwerdeführers aber nicht als entscheidwesentlich, da das BFM die angebliche Reflexverfolgung ausführlich prüfte und - wie nachfolgend dargelegt - aufgrund der Darlegungen des Beschwerdefüh­rers zu Recht für ohnehin unglaubhaft erachtete; eine nä­here Auseinandersetzung mit dem Persönlichkeitsprofil des Cousins in der Verfügung erschien demnach nicht als entscheidwesentlich. Den Ge­hörsansprüchen des Beschwerdeführers betreffend weitere Feststellun­gen in der vorinstanzlichen Vernehmlassung wurde im Übrigen mit Einräu­mung eines Replikrechts hinreichend Rechnung getragen; eine in die­sem Zusammenhang beantragte Neubefragung erschien nicht als erfor­derlich. Mangels ersichtlicher Gehörsverletzungen ist der Antrag auf Rückweisung mithin abzuweisen.</w:t>
      </w:r>
    </w:p>
    <w:p>
      <w:r>
        <w:rPr>
          <w:b/>
        </w:rPr>
        <w:t>E. 5.1</w:t>
      </w:r>
    </w:p>
    <w:p>
      <w:r>
        <w:t>Der Beschwerdeführer macht geltend, er habe im Falle der Rückkehr in die Türkei begründete Furcht vor ernsthaften Nachteilen. Dies erscheint in Anbetracht seiner Vorbringen indes nicht als beachtlich wahrscheinlich.</w:t>
      </w:r>
    </w:p>
    <w:p>
      <w:r>
        <w:rPr>
          <w:b/>
        </w:rPr>
        <w:t>E. 5.2</w:t>
      </w:r>
    </w:p>
    <w:p>
      <w:r>
        <w:t>Die Vorinstanz hat eingeräumt, dass der Beschwerdeführer in seinem Heimatland beim Surfen im Internet oder im Zusammenhang mit Kundge­bungsteilnahmen möglicherweise Zeuge oder auch Opfer von Gewalt wurde. Es mag in der Tat zutreffen, dass er bei einem solchen polizeili­chen Eingriff Verletzungen erlitt. Derartigen Nachteilen wie Schlägen und kurzzeitigen Festnahmen oder Anhaltungen kommt aber im Allgemeinen keine Asylrelevanz zu. Diese Einschätzung erweist sich auch beim Be­schwerdeführer als berechtigt. So gab er an, in der Türkei sei kein Verfah­ren gegen ihn hängig (A 10/14 Antwort 77). Zudem wurde ihm vor der Aus­reise ein türkischer Reisepass ausgestellt, dessen Verlust er in keiner Weise überzeugend zu schildern vermochte (A 1/8 Antwort 3; A 10/14 Ant­worten 11 ff.). Dass er im Zeitpunkt der Ausreise landesweit mit Verfol­gung hätte rechnen müssen, erscheint mithin schon in diesem Lichte bese­hen als unglaubhaft. Im Weiteren mag zutreffen, dass die Behörden wegen des in die Schweiz geflohenen Cousins zumindest vorübergehend Nachforschungen bei Verwandten tätigten. Im Sinne der vorinstanzlichen Erwägungen und entgegen den nicht stichhaltigen Beschwerdevorbringen kann aber nicht nachvollzogen werden, wieso ausgerechnet der damals noch sehr junge Beschwerdeführer als Cousin davon primär betrof­fen gewesen sein sollte. Allein seine allfälligen Aufenthalte in des­sen Internetlokal erscheinen in keiner Weise als hinreichende Begrün­dung für diese angebliche behördliche Fixierung (A 10/14 Antworten 65 und 79). Im Übrigen ist das Verwandtschaftsverhältnis nicht bestritten, wes­halb sich die eventualiter in Aussicht gestellte Nachreichung eines Fami­lienregisterauszugs erübrigt. Die angebliche Nähe des Beschwerdefüh­rers zum erwähnten Cousin erscheint aber auch deswe­gen und entgegen den eher konstruiert wirkenden Beschwerdevorbringen als fraglich, weil er dessen Namen bei den Befragungen nicht übereinstim­mend angab (A 10/14 Antwort 66). Auch wenn aus amtlicher Sicht Unklarheiten beim Namen bestehen sollten, wäre von einer Person mit engem Kontakt zum besagten Cousin zu erwarten gewesen, dass er je­weils denselben Namen genannt hätte. Unbesehen allfälliger Artikulations­probleme wäre beim Beschwerdeführer sodann davon auszuge­hen gewesen, dass er tatsächlich erlebte Festnahmen und Folterun­gen mit Realkennzeichen versehen geschildert hätte. Solche las­sen sich dem Anhörungsprotokoll indes kaum entnehmen. Ob die Glaubhaf­tigkeit der angeblichen Folterungen beziehungsweise Misshandlun­gen auch wegen der gemäss vorinstanzlicher Verfügung ver­späteten Erwähnung zu verneinen ist, erscheint in Anbetracht des Summar­charakters der Erstbefragung zwar nicht als zwingend, hatte er dort doch angegeben, schwerer Gewalt ausgesetzt gewesen zu sein (A 1/8 S. 4). Ins Gewicht fällt demgegenüber, dass der besagte Cousin, dessen Verfahren vor dem Bundesverwaltungsge­richt noch hängig ist (_______), die Türkei offen­bar erst _______ 2007 verliess. Die vorinstanzliche Einschät­zung in der Vernehmlassung, die angebliche Reflexverfolgung sei auch deshalb unglaubhaft, weil der besagte Cousin im Zeitpunkt angebli­cher Verfolgungshandlungen gegen den Beschwerdeführer noch für die Behörden greifbar gewesen sei, erfährt so ihre Berechtigung. Anzufü­gen ist, dass der erwähnte Cousin auch gemäss Eingabe seines Rechtsvertreters vom 16. Juni 2008 die Türkei erst _______ 2007 verliess._______. Entge­gen den Beschwerdevorbringen besteht im vorliegenden Verfahren somit grundsätzlich kein Anlass, am erwähnten Ausreiseizeitpunkt des Cousins zu zweifeln. Insbesondere die Vorbringen des Beschwerdeführers, im Jahre 2006 wegen seines Cousins zweimal mitgenommen worden zu sein, wirken nach dem Gesagten konstruiert (A 10/14 Antworten 71 f.). Die Behauptung in der Beschwerde, er sei wegen des Untertauchens des Cousins von Ende 2005 bis Mitte 2009 polizeilich behelligt worden, wird durch die Aktenlage mithin nicht gestützt. Schliesslich ist dem BFM auch insoweit beizupflichten, als die eingereichten medizinischen Unterla­gen vom Dezember 2005 auf erlittene Verletzungen respektive Beschwer­den im genannten Zeitpunkt hindeuten, über deren Ursache respektive Tä­terschaft indes keine schlüssigen Hinweise zu geben vermögen. Die an­gebliche Reflexverfolgung in der geschilderten Form und im geltend ge­machten Zeitraum belegen sie indes nicht. Dass der Beschwerdeführer knapp vier Jahre lang regelmässig durch Polizisten eingeschüchtert, be­droht und misshandelt worden wäre, ist demzufolge nicht glaubhaft.</w:t>
      </w:r>
    </w:p>
    <w:p>
      <w:r>
        <w:rPr>
          <w:b/>
        </w:rPr>
        <w:t>E. 5.3</w:t>
      </w:r>
    </w:p>
    <w:p>
      <w:r>
        <w:t>Der Beschwerdeführer hat eine militärische Vorladung eingereicht. All­fällige straf­rechtliche Konsequenzen wegen Re­fraktion, Dienstverweige­rung oder Desertion bei einer Rückkehr ins Hei­matland stel­len indes grundsätzlich keine Ver­folgung im Sinne des Asylgesetzes dar. Allerdings ist eine wegen Missachtung der Dienst­pflicht drohende Strafe dann asylrelevant, wenn der Wehrpflichtige we­gen sei­nes Verhal­tens mit einer Strafe zu rechnen hat, welche entwe­der aus Gründen nach Art. 3 AsylG diskriminierend höher ausfällt oder an sich unverhältnismäs­sig hoch ist, oder wenn die Einberufung zum Wehrdienst darauf abzielt, einem Wehrpflichtigen aus einem der in Art. 3 AsylG genannten Gründe erhebliche Nachteile zuzufügen oder diesen in völkerrechtlich verpönte Handlungen zu verstricken (EMARK 2004 Nr. 2). Beim Beschwerdeführer, dessen politisches Profil als beschei­den zu werten ist und dessen Vater sich keiner politischen Organisa­tion angeschlossen haben soll, bestehen indes keine konkreten An­haltspunkte für drohende asylrelevante Massnahmen (A 10/14 Antwort 20 und 43 ff.). Allein die Umstände, wonach sein Bruder im Militär geschlagen worden sei und er im Einwohneramt unter Angabe eines politisch belasteten Herkunfts­orts vermerkt sein soll, führen noch zu keiner anderen Beurteilung (A 10/14 Antworten 57 und 59).</w:t>
      </w:r>
    </w:p>
    <w:p>
      <w:r>
        <w:rPr>
          <w:b/>
        </w:rPr>
        <w:t>E. 5.4</w:t>
      </w:r>
    </w:p>
    <w:p>
      <w:r>
        <w:t>Aufgrund des wie erwähnt bescheidenen politischen Profils des Be­schwerdeführers bestehen ferner keine Hinweise für begründete Furcht vor ernsthaften Nachteilen wegen der Sympathie für die (damalige) DTP. Auch die ferner vorgebrachten Diskriminierungen wegen der kurdischen Ethnie sind mangels Verfolgungsintensität nicht als asylrelevant zu wer­ten. Entgegen den Beschwerdevorbringen bestehen auch keine konkre­ten Anhaltspunkte für begründete Furcht vor asylrelevanten Nachteilen.</w:t>
      </w:r>
    </w:p>
    <w:p>
      <w:r>
        <w:rPr>
          <w:b/>
        </w:rPr>
        <w:t>E. 5.5</w:t>
      </w:r>
    </w:p>
    <w:p>
      <w:r>
        <w:t>Unter Berücksichtigung der gesamten Umstände folgt, dass der Be­schwerdeführer keine Gründe nach Art. 3 AsylG nachweisen oder glaub­haft machen konnte. Die eingereichten Beweismittel - darunter Zeitungsarti­kel und zwei SFH-Berichte - rechtfertigen keine andere Ein­schät­zung. Die Vorinstanz hat die Flüchtlingseigen­schaft dem­nach zu Recht verneint und das Asylgesuch abgelehnt. An dieser Beurteilung ver­mö­gen die weiteren Ausführungen in den Eingaben mangels Stichhaltig­keit nichts zu ändern. Nach dem Gesagten erübrigt sich auch ein vertiefte­res Eingehen auf die Akten der erwähnten Cousins in der Schweiz.</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ge­mäss obenstehenden Ausführungen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w:t>
      </w:r>
    </w:p>
    <w:p>
      <w:r>
        <w:rPr>
          <w:b/>
        </w:rPr>
        <w:t>E. 8.2.2</w:t>
      </w:r>
    </w:p>
    <w:p>
      <w:r>
        <w:t>Der Beschwerdeführer stammt aus der Provinz _______, wo seine Angehörigen leben. Er arbeitete als Schuhmacher. Die finanzielle Situ­ation der Familie soll gut sein (A 1/8 S. 2; A 10/14 Antworten 36 ff. und 103). Es ist entsprechend nicht davon aus­zugehen, dass er nach seiner Rückkehr in die Türkei dort in eine exis­tenzgefährdende Situation ge­rät.</w:t>
      </w:r>
    </w:p>
    <w:p>
      <w:r>
        <w:rPr>
          <w:b/>
        </w:rPr>
        <w:t>E. 8.2.3</w:t>
      </w:r>
    </w:p>
    <w:p>
      <w:r>
        <w:t>Nach dem Gesagten erweist sich der Vollzug der Wegweisung auch als zumutbar.</w:t>
      </w:r>
    </w:p>
    <w:p>
      <w:r>
        <w:rPr>
          <w:b/>
        </w:rPr>
        <w:t>E. 8.3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8.4</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grund­sätzlich dem Beschwerdeführer aufzuerlegen (Art. 63 Abs. 1 VwVG). Da das Gesuch im Sinne von Art. 65 Abs. 1 VwVG mit Zwischenverfügung vom 24. März 2010 gutgeheissen wurde, ist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