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D-3718/2011 vom 29. Februar 2012</w:t>
      </w:r>
    </w:p>
    <w:p>
      <w:r>
        <w:t>Bundesverwaltungsgericht, 2012-02-29, DE</w:t>
      </w:r>
    </w:p>
    <w:p>
      <w:r>
        <w:rPr>
          <w:b/>
        </w:rPr>
        <w:t xml:space="preserve">Quelle: </w:t>
      </w:r>
      <w:r>
        <w:t>https://mcp.opencaselaw.ch/entscheid/bvger_D-3718_2011</w:t>
      </w:r>
    </w:p>
    <w:p>
      <w:r>
        <w:t>FR: TAF D-3718/2011 du 29 février 2012</w:t>
      </w:r>
    </w:p>
    <w:p>
      <w:r>
        <w:t>IT: TAF D-3718/2011 del 29 febbraio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Vorbringen in der Beschwerde vom 30. Juni 2011 sind nicht geeignet, eine Änderung der vorinstanzlichen Verfügung zu bewirken. Der Argumentation der Vorinstanz werden keine stichhaltigen und substanziierten Gründe entgegengesetzt. Eine diesbezügliche Auseinandersetzung unterbleibt zwar nicht gänzlich. Die Ausführungen des Beschwerdeführers vermögen jedoch die Erwägungen des BFM nicht umzustossen. Für das Bundesverwaltungsgericht besteht nach Überprüfung der Akten keine Veranlassung, die Erwägungen des Bundesamtes zu beanstanden. Um Wiederholungen zu vermeiden, kann auf die zutreffenden Ausführungen in der angefochtenen Verfügung verwiesen werden. Ausserdem wurde bereits in der Zwischenverfügung vom 7. Juli 2011 ausführlich dargelegt und zusammenfassend festgehalten, dass die Erwägungen der Vorinstanz zu bestätigen und durch die Ausführungen in der Beschwerdeschrift nicht zu entkräften sein dürften. Nach dem Gesagten droht dem Beschwerdeführer keine asylrelevante Verfolgung im Sinne von Art. 3 AsylG.</w:t>
      </w:r>
    </w:p>
    <w:p>
      <w:r>
        <w:rPr>
          <w:b/>
        </w:rPr>
        <w:t>E. 5.2</w:t>
      </w:r>
    </w:p>
    <w:p>
      <w:r>
        <w:t>Aufgrund der vorstehenden Erwägungen erübrigt es sich, auf die weiteren Ausführungen in der Beschwerde sowie auf die eingereichten Beweismittel im Einzelnen einzugehen, da sie am Ergebnis der vorgenommenen Würdigung nichts zu ändern vermögen. Unter diesen Umständen ist somit festzuhalten, dass der Beschwerdeführer einen flüchtlingsrechtlich bedeutsamen Sachverhalt weder nachgewiesen noch glaubhaft gemacht hat. Die Feststellung des BFM, der Beschwerdeführer erfülle die Flüchtlingseigenschaft gemäss Art. 3 AsylG nicht, ist dementsprechend zu bestätigen. Das BFM hat das Asylgesuch zu Recht und mit zutreffender Begründung abgelehnt. Der Antrag auf Rückweisung zur Neubeurteilung an die Vorinstanz ist abzuweisen.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 S. 733 mit Hinweisen).</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der ehemaligen Schweizer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7.5</w:t>
      </w:r>
    </w:p>
    <w:p>
      <w:r>
        <w:t>Vorab ist festzustellen, dass angesichts der heutigen Lage in der Türkei nicht von einer Situation allgemeiner Gewalt oder von kriegeri­schen oder bürgerkriegsähnlichen Verhältnissen gesprochen werden kann, welche für den Beschwerdeführer bei einer Rückkehr eine konkrete Gefährdung darstellen würde.</w:t>
      </w:r>
    </w:p>
    <w:p>
      <w:r>
        <w:rPr>
          <w:b/>
        </w:rPr>
        <w:t>E. 7.6</w:t>
      </w:r>
    </w:p>
    <w:p>
      <w:r>
        <w:t>Auch aufgrund der persönlichen Situation des Beschwerdeführers sind keine Gründe ersichtlich, die gegen die Zumutbarkeit des Wegweisungsvollzugs sprechen. Der Beschwerdeführer hat eine Ausbildung als Koch absolviert und in diesem Beruf bereits erste Erfahrungen gesammelt (vgl. A5/16 S. 2, A17/14 S. 5 F. 36 - 40), weshalb anzunehmen ist, er könne sich in seiner Heimat wieder wirtschaftlich integrieren. Gemäss seinen Angaben lebte der Beschwerdeführer vor seiner Ausreise in E._______, wo seine Eltern und fünf seiner Geschwister nach wie vor leben (vgl. A5/16 S. 3). Darüber hinaus verfügt er seinen Angaben zufolge auch in anderen Städten der Westtürkei über ein soziales Netz (vgl. A17/14 S. 6 F. 46). Der Beschwerdeführer kann somit an verschiedenen Orten in der Türkei auf ein intaktes familiäres beziehungsweise soziales Netz zurückgreifen, welches ihm unter anderem bei der Arbeits- und Wohnungssuche behilflich sein kann. Nach dem Gesagten erweist sich der Vollzug der Wegweisung auch als zumutbar.</w:t>
      </w:r>
    </w:p>
    <w:p>
      <w:r>
        <w:rPr>
          <w:b/>
        </w:rPr>
        <w:t>E. 7.7</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7.8</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VwVG), auf insgesamt Fr. 600.- festzusetzen (Art. 1 - 3 des Reglements vom 21. Februar 2008 über die Kosten und Entschädigungen vor dem Bundesverwaltungsgericht [VGKE, SR 173.320.2]) und mit dem am 20. Juli 2011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