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D-3717/2013 vom 5. August 2013</w:t>
      </w:r>
    </w:p>
    <w:p>
      <w:r>
        <w:t>Bundesverwaltungsgericht, 2013-08-05, IT</w:t>
      </w:r>
    </w:p>
    <w:p>
      <w:r>
        <w:rPr>
          <w:b/>
        </w:rPr>
        <w:t xml:space="preserve">Quelle: </w:t>
      </w:r>
      <w:r>
        <w:t>https://mcp.opencaselaw.ch/entscheid/bvger_D-3717_2013</w:t>
      </w:r>
    </w:p>
    <w:p>
      <w:r>
        <w:t>FR: TAF D-3717/2013 du 5 août 2013</w:t>
      </w:r>
    </w:p>
    <w:p>
      <w:r>
        <w:t>IT: TAF D-3717/2013 del 5 agosto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accolta.</w:t>
      </w:r>
    </w:p>
    <w:p>
      <w:r>
        <w:rPr>
          <w:b/>
        </w:rPr>
        <w:t>E. 2</w:t>
      </w:r>
    </w:p>
    <w:p>
      <w:r>
        <w:t>Per la procedura di restituzione del termine non si prelevano spese processuali e non vengono assegnate indennità di ripetibili.</w:t>
      </w:r>
    </w:p>
    <w:p>
      <w:r>
        <w:rPr>
          <w:b/>
        </w:rPr>
        <w:t>E. 3</w:t>
      </w:r>
    </w:p>
    <w:p>
      <w:r>
        <w:t>Il ricorso del 28 giugno 2013 è respinto.</w:t>
      </w:r>
    </w:p>
    <w:p>
      <w:r>
        <w:rPr>
          <w:b/>
        </w:rPr>
        <w:t>E. 4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all'UFM e all'autorità cantonale competente. Il presidente del collegio: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