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D-3715/2025 vom 16. April 2025</w:t>
      </w:r>
    </w:p>
    <w:p>
      <w:r>
        <w:t>Bundesverwaltungsgericht, 2025-04-16, DE</w:t>
      </w:r>
    </w:p>
    <w:p>
      <w:r>
        <w:rPr>
          <w:b/>
        </w:rPr>
        <w:t xml:space="preserve">Quelle: </w:t>
      </w:r>
      <w:r>
        <w:t>https://mcp.opencaselaw.ch/entscheid/bvger_D-3715_2025_d20250416</w:t>
      </w:r>
    </w:p>
    <w:p>
      <w:r>
        <w:t>FR: TAF D-3715/2025 du 16 avril 2025</w:t>
      </w:r>
    </w:p>
    <w:p>
      <w:r>
        <w:t>IT: TAF D-3715/2025 del 16 aprile 2025</w:t>
      </w:r>
    </w:p>
    <w:p>
      <w:pPr>
        <w:pStyle w:val="Heading2"/>
      </w:pPr>
      <w:r>
        <w:t>Regeste</w:t>
      </w:r>
    </w:p>
    <w:p>
      <w:r>
        <w:t>Asyl und Wegweisung | Asyl und Wegweisung; Verfügung des SEM vom 16. April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w:t>
      </w:r>
    </w:p>
    <w:p>
      <w:r>
        <w:t>D-3715/2025 Seite 6 Abs. 2 AsylG; Art. 48 Abs. 1 sowie Art. 52 Abs. 1 VwVG). Zudem beglich sie den Kostenvorschuss fristgerecht.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Beschwerdeführerin rügt eine Verletzung des Untersuchungs- grundsatzes, da das SEM ihren Gesundheitszustand und die Behand- lungsmöglichkeiten im Iran nur unzureichend abgeklärt habe.</w:t>
      </w:r>
    </w:p>
    <w:p>
      <w:r>
        <w:rPr>
          <w:b/>
        </w:rPr>
        <w:t>E. 4.2</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 fahren notwendigen Sachverhaltsunterlagen beschaffen und die rechtlich relevanten Umstände abklären sowie ordnungsgemäss darüber Beweis führen. Dieser Grundsatz gilt indessen nicht uneingeschränkt, sondern fin- det sein Korrelat in der aus Art. 13 VwVG und Art. 8 Abs. 1 AsylG fliessen- den Mitwirkungspflicht des Asylsuchenden (vgl. BVGE 2012/21 E. 5.1).</w:t>
      </w:r>
    </w:p>
    <w:p>
      <w:r>
        <w:rPr>
          <w:b/>
        </w:rPr>
        <w:t>E. 4.3</w:t>
      </w:r>
    </w:p>
    <w:p>
      <w:r>
        <w:t>In den vorinstanzlichen Akten finden sich diverse Arztberichte, die sich zum Gesundheitszustand der Beschwerdeführerin äussern. Vor diesem Hintergrund war das SEM nicht gehalten, ergänzende Abklärungen zu tä- tigen. Eine Verletzung des Untersuchungsgrundsatzes liegt folglich nicht vor.</w:t>
      </w:r>
    </w:p>
    <w:p>
      <w:r>
        <w:rPr>
          <w:b/>
        </w:rPr>
        <w:t>E. 5.1</w:t>
      </w:r>
    </w:p>
    <w:p>
      <w:r>
        <w:t>Gemäss Art. 2 Abs. 1 AsylG gewährt die Schweiz Flüchtlingen grund- sätzlich Asyl. Flüchtlinge sind Personen, die in ihrem Heimatstaat oder im</w:t>
      </w:r>
    </w:p>
    <w:p>
      <w:r>
        <w:t>D-3715/2025 Seite 7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Das SEM kommt in der angefochtenen Verfügung zutreffend zum Schluss, dass die iranischen Behörden hinsichtlich der Behelligungen sei- tens des Ex-Partners schutzfähig und schutzwillig sind. So ist den Aussa- gen der Beschwerdeführerin wie auch den eingereichten Dokumenten zu entnehmen, dass die Behörden mehrfach in adäquater Weise aktiv gewor- den sind. Die Ausführungen in der Beschwerde, die Behörden hätten dies- bezüglich nicht genug unternommen, vermögen in keiner Weise zu über- zeugen, zumal es regelmässig die Beschwerdeführerin selbst war, die die Bemühungen der Behörden unterband. Hinsichtlich des Schwagers ist in Übereinstimmung mit dem SEM zu be- merken, dass den Vorbringen der Beschwerdeführerin wenig dazu zu ent- nehmen ist, weshalb der Schwager auch noch im Erwachsenenalter und bis kurz vor der Ausreise Verfügungsgewalt über sie gehabt habe, und es ihr grundsätzlich möglich sein sollte, sich weiteren Übergriffsversuchen er- folgreich zu widersetzen. Diese Frage kann aber letztlich offenbleiben, zu- mal es der Beschwerdeführerin auch in diesem Zusammenhang zuzumu- ten wäre, sich bei den staatlichen Behörden um Schutz zu bemühen, was sie in der Vergangenheit offenbar gänzlich unterlassen hat. Es trifft zwar zu, dass der Schutz weiblicher Opfer sexueller Gewalt im Iran gewisse De- fizite aufweist. Es ist jedoch nicht generell von einer fehlenden Schutzge- währung auszugehen, sondern vielmehr einzelfallbezogen festzustellen, ob die jeweilige Person hinreichend Schutz erhält respektive erhalten könnte (vgl. etwa Urteil des BVGer E-4281/2021 vom 7. März 2024</w:t>
      </w:r>
    </w:p>
    <w:p>
      <w:r>
        <w:t>D-3715/2025 Seite 8 E. 5.3.6). Die Beschwerdeführerin hat sich in Bezug auf die Übergriffe durch den Schwager offenbar nie an die heimatlichen Behörden gewandt, um Schutz zu erhalten, ohne dass dafür ein zwingender Grund ersichtlich wäre. So hat sie hinsichtlich der Nachstellungen seitens ihres Ex-Partners eindrücklich gezeigt, dass sie durchaus in der Lage ist, sich gegen männ- liche Personen juristisch zur Wehr zu setzen und ihr die heimatlichen Be- hörden auch tatsächlich Schutz gewähren. Vor diesem Hintergrund ist an- zunehmen, dass sie auch betreffend ihren Schwager in der Lage sein sollte, adäquaten Schutz zu erhalten.</w:t>
      </w:r>
    </w:p>
    <w:p>
      <w:r>
        <w:rPr>
          <w:b/>
        </w:rPr>
        <w:t>E. 5.4</w:t>
      </w:r>
    </w:p>
    <w:p>
      <w:r>
        <w:t>Schliesslich ist dem SEM auch darin zuzustimmen, als den Akten nichts Konkretes zu entnehmen wäre, was auf ein ernsthaftes Verfolgungs- oder gar Tötungsinteresse seitens des älteren Bruders hindeuten würde. Eine Gefährdung von dieser Seite ist nicht zu erkennen. Abgesehen davon wäre es der Beschwerdeführerin auch in diesem Zusammenhang zuzumuten, sich bei den Behörden um Schutz zu bemühen.</w:t>
      </w:r>
    </w:p>
    <w:p>
      <w:r>
        <w:rPr>
          <w:b/>
        </w:rPr>
        <w:t>E. 5.5</w:t>
      </w:r>
    </w:p>
    <w:p>
      <w:r>
        <w:t>Das SEM hat folglich zu Recht die Flüchtlingseigenschaft verneint und das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D-3715/2025 Seite 9</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7.2.5</w:t>
      </w:r>
    </w:p>
    <w:p>
      <w:r>
        <w:t>Sodann ergeben sich weder aus den Aussagen der Be- schwerdeführerin noch aus den Akten Anhaltspunkte dafür, dass sie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die Beschwerdeführerin eine konkrete Gefahr ("real risk") nachweisen oder glaubhaft machen, dass ihr im Fall einer Rückschiebung Folter oder unmenschliche Behandlung drohen würde (vgl. Urteil des EGMR Saadi gegen Italien vom 28. Februar 2008, Grosse Kam- mer 37201/06, §§ 124–127 m.w.H.). Nach den vorstehenden Ausführun- gen gelingt ihr das nicht. Auch die allgemeine Menschenrechtssituation im</w:t>
      </w:r>
    </w:p>
    <w:p>
      <w:r>
        <w:t>D-3715/2025 Seite 10 Heimatstaat lässt den Wegweisungsvollzug zum heutigen Zeitpunkt nicht als unzulässig erscheinen.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Im Iran herrscht weder Krieg oder Bürgerkrieg noch eine Situation allgemeiner Gewalt. Trotz der dort geltenden totalitären Staatsordnung und der sich daraus ergebenden Probleme erachtet das Bundesverwaltungs- gericht den Vollzug der Wegweisung in den Iran daher in konstanter Praxis als generell zumutbar (vgl. statt vieler Urteil des BVGer D-2949/2024 vom 30. September 2024 E. 8.3.2).</w:t>
      </w:r>
    </w:p>
    <w:p>
      <w:r>
        <w:rPr>
          <w:b/>
        </w:rPr>
        <w:t>E. 7.3.3</w:t>
      </w:r>
    </w:p>
    <w:p>
      <w:r>
        <w:t>Individuelle Gründe, die den Vollzug als unzumutbar erscheinen las- sen würden, sind ebenfalls nicht ersichtlich. Die Beschwerdeführerin beruft sich diesbezüglich auf ihren psychischen Gesundheitszustand. Dazu ist zu bemerken, dass der Iran über ein funktionierendes Gesund- heitssystem verfügt, welches insbesondere psychische Probleme adäquat behandeln kann (vgl. etwa Urteil des BVGer vom 22. August 2025 E. 6.4). Auch ist entgegen den Beschwerdevorbringen in antizipierter Beweiswür- digung davon auszugehen, dass auch allfällige Kosten einer genügenden medizinischen Versorgung nicht entgegenstehen würden, zumal die Be- schwerdeführerin im Iran offenbar finanziell nicht schlecht gestellt war und sie auch mit der Unterstützung durch den Bruder in der Schweiz rechnen kann. Weiter beruft sich die Beschwerdeführerin auf ihr enges Verhältnis zu ihrem in der Schweiz wohnhaften Bruder B._______ (N […]) und macht dadurch einen Anspruch auf Achtung des Privat- und Familienlebens gemäss Art. 8 EMRK geltend. So habe das SEM ein Gesuch um Kantonswechsel auf- grund medizinischer Gründe gutgeheissen, was unter dem Aspekt der Zu- mutbarkeit zu berücksichtigen sei. Diese familiäre Verbindung steht einer Wegeweisung jedoch nicht entgegen. Dabei ist insbesondere zu be-</w:t>
      </w:r>
    </w:p>
    <w:p>
      <w:r>
        <w:t>D-3715/2025 Seite 11 rücksichtigen, dass dieser Bruder ihr offenbar insbesondere dabei hilft, in der Schweiz zurecht zu kommen, da sie hier über keine anderen Bezugs- personen verfügt. Im Iran ist die Ausgangssituation jedoch eine andere, da sie dort über ein breites familiäres Netz verfügt (vgl. SEM-act. […]-39 F18 bis F30 und SEM-act. […]-61 F17 bis F19), welches sie gegebenenfalls im Alltag unterstützen kann. Die Anwesenheit des Bruders in der Schweiz steht der Zumutbarkeit des Wegweisungsvollzugs folglich ebenfalls nicht entgegen.</w:t>
      </w:r>
    </w:p>
    <w:p>
      <w:r>
        <w:rPr>
          <w:b/>
        </w:rPr>
        <w:t>E. 7.3.4</w:t>
      </w:r>
    </w:p>
    <w:p>
      <w:r>
        <w:t>Nach dem Gesagten erweist sich der Vollzug der Wegweisung auch als zumutbar.</w:t>
      </w:r>
    </w:p>
    <w:p>
      <w:r>
        <w:rPr>
          <w:b/>
        </w:rPr>
        <w:t>E. 7.4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Für deren Bezahlung ist der bereits in gleicher Höhe ge- leistete Kostenvorschuss zu verwenden.</w:t>
      </w:r>
    </w:p>
    <w:p>
      <w:r>
        <w:t>(Dispositiv nächste Seite)</w:t>
      </w:r>
    </w:p>
    <w:p>
      <w:r>
        <w:t>D-3715/2025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