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D-3711/2013 vom 30. August 2013</w:t>
      </w:r>
    </w:p>
    <w:p>
      <w:r>
        <w:t>Bundesverwaltungsgericht, 2013-08-30, FR</w:t>
      </w:r>
    </w:p>
    <w:p>
      <w:r>
        <w:rPr>
          <w:b/>
        </w:rPr>
        <w:t xml:space="preserve">Quelle: </w:t>
      </w:r>
      <w:r>
        <w:t>https://mcp.opencaselaw.ch/entscheid/bvger_D-3711_2013</w:t>
      </w:r>
    </w:p>
    <w:p>
      <w:r>
        <w:t>FR: TAF D-3711/2013 du 30 août 2013</w:t>
      </w:r>
    </w:p>
    <w:p>
      <w:r>
        <w:t>IT: TAF D-3711/2013 del 30 agosto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A._______. Ils sont compensés avec son avance versée le 17 juillet 2013.</w:t>
      </w:r>
    </w:p>
    <w:p>
      <w:r>
        <w:rPr>
          <w:b/>
        </w:rPr>
        <w:t>E. 3</w:t>
      </w:r>
    </w:p>
    <w:p>
      <w:r>
        <w:t>Le présent arrêt est adressé au recourant, ainsi qu'à l'ODM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