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D-3700/2011 vom 28. Februar 2013</w:t>
      </w:r>
    </w:p>
    <w:p>
      <w:r>
        <w:t>Bundesverwaltungsgericht, 2013-02-28, DE</w:t>
      </w:r>
    </w:p>
    <w:p>
      <w:r>
        <w:rPr>
          <w:b/>
        </w:rPr>
        <w:t xml:space="preserve">Quelle: </w:t>
      </w:r>
      <w:r>
        <w:t>https://mcp.opencaselaw.ch/entscheid/bvger_D-3700_2011</w:t>
      </w:r>
    </w:p>
    <w:p>
      <w:r>
        <w:t>FR: TAF D-3700/2011 du 28 février 2013</w:t>
      </w:r>
    </w:p>
    <w:p>
      <w:r>
        <w:t>IT: TAF D-3700/2011 del 28 febbraio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des Bundesgerichtsgesetzes vom 17. Juni 2005 [BGG, SR 173.110]).</w:t>
      </w:r>
    </w:p>
    <w:p>
      <w:r>
        <w:rPr>
          <w:b/>
        </w:rPr>
        <w:t>E. 1.2</w:t>
      </w:r>
    </w:p>
    <w:p>
      <w:r>
        <w:t>Auf die Beschwerde wurde eingetreten (vgl. Zwischenverfügung vom 15. Juli 2011; vorn Bst. F).</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Der Beschwerdeführer ersucht in der Beschwerdeeingabe vom 29. Juni 2011 um Aufhebung der Dispositivziffern 1, 3, 4 und 5 der vorinstanzlichen Verfügung vom 30. Mai 2011. Die Aufhebung der Dispositivziffer 2 (Ablehnung des Asylgesuchs) beantragt er zwar nicht explizit, da er jedoch unter Verweis auf die im erstinstanzlichen Verfahren geltend gemachten Asylgründe um Feststellung der Flüchtlingseigenschaft ersucht (und nicht etwa unter Berufung auf subjektive Nachfluchtgründe, die [sofern sie nachgewiesen sind] die Flüchtlingseigenschaft im Sinne von Art. 3 AsylG begründen, jedoch gemäss Art. 54 AsylG zum Ausschluss des Asyls führen) und keine Asylausschlussgründe nennt, bildet auch die Frage des Asyls Gegenstand des vorliegenden Beschwerdeverfahrens.</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Entscheidungen und Mitteilungen der Schweizerischen Asylrekurskommission [EMARK] 2004 Nr. 1 E. 5 S. 4 ff.).</w:t>
      </w:r>
    </w:p>
    <w:p>
      <w:r>
        <w:rPr>
          <w:b/>
        </w:rPr>
        <w:t>E. 5</w:t>
      </w:r>
    </w:p>
    <w:p>
      <w:r>
        <w:t>Das BFM erachtete die geltend gemachten Ausreisegründe des Beschwerdeführers als den Anforderungen an die Flüchtlingseigenschaft gemäss Art. 3 AsylG nicht genügend. Dieser Einschätzung ist im Ergebnis beizupflichten. Zur Vermeidung von Wiederholungen kann vorab auf die nicht zu beanstandenden Ausführungen in der angefochtenen Verfügung verwiesen werden. Den Rechtsmitteleingaben sind keine stichhaltigen Entgegnungen zu entnehmen, die geeignet wären, eine Änderung der angefochtenen Verfügung hinsichtlich der Flüchtlingseigenschaft und des Asyls (und der Durchführbarkeit des Wegweisungsvollzugs) herbeizuführen.</w:t>
      </w:r>
    </w:p>
    <w:p>
      <w:r>
        <w:rPr>
          <w:b/>
        </w:rPr>
        <w:t>E. 5.1</w:t>
      </w:r>
    </w:p>
    <w:p>
      <w:r>
        <w:t>Massgeblich für die Beurteilung der Flüchtlingseigenschaft nach Art. 3 AsylG ist die Situation im Zeitpunkt des Asylentscheids, wobei erlittene Verfolgung oder begründete Furcht vor Verfolgung im Zeitpunkt der Ausreise aus dem Heimatland ein Hinweis auf weiterbestehende Gefährdung sein kann (vgl. BVGE 2008/4 Nr. 5.4 mit weiteren Hinweisen). Hinsichtlich der vom Beschwerdeführer geltend gemachten Misshandlungen bei den Befragungen im Camp ist darauf hinzuweisen, dass die Gewährung des Asyls nicht dazu dienen kann, einen Ausgleich für vergangenes Unrecht zu schaffen, sondern vielmehr bezweckt, Schutz vor künftiger Verfolgung zu gewähren. Der Beschwerdeführer machte in der Beschwerdeeingabe vom 29. Juni 2011 geltend, er habe bei einer Rückkehr nach Sri Lanka begründete Furcht vor asylrelevanter Verfolgung, und berief sich diesbezüglich auf einen Bericht der SFH zur Situation von Rückkehrern nach Sri Lanka vom 1. Dezember 2010 sowie auf die Lagebeurteilung des Bundesverwaltungsgerichts in BVGE 2008/2 (Urteil datierend vom 14. Februar 2008). Das Bundesverwaltungsgericht hat indes zwischenzeitlich angesichts der veränderten Lage nach dem Ende des sri-lankischen Bürgerkriegs im Grundsatzurteil BVGE 2011/24 (Urteil datierend vom 27. Oktober 2011) eine neue Beurteilung der Lage in Sri Lanka vorgenommen und dabei festgehalten, dass gemäss weitgehend übereinstimmenden Berichten insgesamt von einer seit Beendigung des militärischen Konflikts zwischen der sri-lankischen Armee und den LTTE im Mai 2009 erheblich verbesserten Lage auszugehen sei. Die LTTE gälten militärisch als vernichtet und die Sicherheitslage habe sich in bedeutsamer Weise stabilisiert, auch wenn sich das Land immer noch in einem Entwicklungsprozess befinde. Gleichzeitig habe sich aber die Menschenrechtslage namentlich hinsichtlich der Meinungsäusserungs- und der Pressefreiheit weiter verschlechtert. Aufgrund der aktuell in Sri Lanka herrschenden allgemeinen politischen, sicherheits- und menschenrechtlichen Situation hat das Bundesverwaltungsgericht - im Sinne von Risikogruppen - Personenkreise definiert, deren Zugehörige heute einer erhöhten Verfolgungsgefahr unterliegen. Dazu gehören unter anderem Personen, die auch nach Beendigung des Bürgerkriegs verdächtigt werden, mit den LTTE in Verbindung zu stehen oder gestanden zu haben, ebenso Anhänger des Ex-Generals Sarath Fonseka, Journalisten und andere in der Medienbranche tätige Personen, international und lokal tätige Vertreter von Nichtregierungsorganisationen, die sich für die Menschenrechte einsetzen oder Verstösse kritisieren, Opfer und Zeugen von Menschenrechtsverletzungen sowie Personen, die solche Übergriffe bei den Behörden anzeigen, abgewiesene Asylbewerber mit Verdacht zu Kontakten zum LTTE-Kader oder Personen, die über beträchtliche finanzielle Mittel verfügen (siehe die ausführliche Darstellung der Personengruppen im erwähnten Urteil BVGE 2011/24 E. 8).</w:t>
      </w:r>
    </w:p>
    <w:p>
      <w:r>
        <w:rPr>
          <w:b/>
        </w:rPr>
        <w:t>E. 5.2</w:t>
      </w:r>
    </w:p>
    <w:p>
      <w:r>
        <w:t>Die Vorbringen des Beschwerdeführers sind nicht geeignet, ein asylrelevantes Risikoprofil im obgenannten Sinne zu begründen. Die sri-lankischen Behörden richten den Fokus auf ehemalige Führungskräfte der LTTE oder auf Personen, welche in namhafter Weise für diese Organisation tätig waren und aus diesem Grund eine Gefahr für den Staat darstellen. Auf den Beschwerdeführer trifft dies nicht zu. Laut seinen Angaben hat er lediglich, wie unzählige andere Personen, am damals obligatorischen Waffentraining der LTTE im Vanni-Gebiet teilgenommen. Eine Beteiligung an Kampfhandlungen oder andere namhafte Aktivitäten für die LTTE beziehungsweise Kontakte zu deren Kaderleuten bringt er nicht vor. Damit weist er kein herausragendes politisches Profil auf. Dem BFM ist auch dahingehend zuzustimmen, dass der Umstand, dass der Beschwerdeführer nach Kriegsende in ein IDP-Camp gebracht und dort belassen wurde, gegen ein Risikoprofil spricht. Dieser Umstand deutet vielmehr darauf hin, dass die sri-lankische Armee den Beschwerdeführer nach den durchgeführten Befragungen nicht ernsthaft verdächtigt hat, in namhafter Weise für die LTTE tätig gewesen zu sein oder in Kontakt zum LTTE-Kader gestanden zu haben, ansonsten er wohl kaum ohne Anordnung weiterer Untersuchungsmassnahmen in dem IDP-Camp belassen worden wäre. Dass es den Armeeangehörigen, die die Untersuchung gegen ihn geführt haben, nicht gelungen sei, das Mobiltelefon dem wahren Eigentümer zuzuordnen, ist in Anbetracht des Inhalts der entsprechenden Speicherkarte unglaubhaft. Den Akten lassen sich damit keine konkreten Anhaltspunkte dafür entnehmen, dass der Beschwerdeführer im heutigen Zeitpunkt von den sri-lankischen Behörden als politisch oppositionell wahrgenommen respektive als namhafter LTTE-Anhänger gesucht würde. Das BFM hat die Vorbringen des Beschwerdeführers daher zu Recht wegen fehlender begründeter Furcht vor künftiger asylrechtlich relevanter Verfolgung als den Anforderungen an die Flüchtlingseigenschaft gemäss Art. 3 AsylG nicht genügend erachtet. Allein der Umstand, dass der Beschwerdeführer in der Schweiz ein Asylgesuch eingereicht hat, vermag seine Flüchtlingseigenschaft ebenfalls nicht zu begründen.</w:t>
      </w:r>
    </w:p>
    <w:p>
      <w:r>
        <w:rPr>
          <w:b/>
        </w:rPr>
        <w:t>E. 5.3</w:t>
      </w:r>
    </w:p>
    <w:p>
      <w:r>
        <w:t>Der Beschwerdeführer erfüllt damit die Flüchtlingseigenschaft gemäss Art. 3 AsylG nicht. Das Bundesamt hat das Asylgesuch zu Recht abgelehnt.</w:t>
      </w:r>
    </w:p>
    <w:p>
      <w:r>
        <w:rPr>
          <w:b/>
        </w:rPr>
        <w:t>E. 6</w:t>
      </w:r>
    </w:p>
    <w:p>
      <w:r>
        <w:t>Lehnt das Bundesamt das Asylgesuch ab oder tritt es darauf nicht ein, so verfügt es in der Regel die Wegweisung aus der Schweiz und ordnet den Vollzug an (Art. 44 Abs. 1 AsylG). Der Beschwerdeführer verfügt weder über eine ausländerrechtliche Aufenthaltsbewilligung noch über einen Anspruch auf Erteilung einer solchen. Die Wegweisung wurde daher zu Recht angeordnet (vgl. BVGE 2009/50 E. 9 S. 733, BVGE 2008/34 E. 9.2 S. 510).</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7.1</w:t>
      </w:r>
    </w:p>
    <w:p>
      <w:r>
        <w:t>Der Vollzug ist nicht zulässig, wenn völkerrechtliche Verpflichtungen der Schweiz einer Weiterreise der Ausländerin oder des Ausländers in den Heimat-, Herkunfts- oder in einen Drittstaat entgegenstehen (Art. 83 Abs. 3 AuG).</w:t>
      </w:r>
    </w:p>
    <w:p>
      <w:r>
        <w:rPr>
          <w:b/>
        </w:rPr>
        <w:t>E. 7.1.1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Da es dem Beschwerdeführer nicht gelungen ist, eine asylrechtlich erhebliche Gefährdung nachzuweisen oder glaubhaft zu machen, kann das in Art. 5 AsylG verankerte Prinzip des flüchtlingsrechtlichen Rückschiebungsverbots nicht zur Anwendung gelangen. Der Vollzug der Wegweisung ist demnach unter dem Aspekt von Art. 5 AsylG rechtmässig.</w:t>
      </w:r>
    </w:p>
    <w:p>
      <w:r>
        <w:rPr>
          <w:b/>
        </w:rPr>
        <w:t>E. 7.1.2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in einen Staat ausgeschafft werden, in dem ihm Folter oder eine andere Art unmenschlicher oder erniedrigender Strafe oder Behandlung droht.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Gefährdung ("real risk") nachweisen oder zumindest glaubhaft machen, dass ihm im Falle einer Rückschiebung Folter oder unmenschliche Behandlung drohen würde (vgl. EGMR [Grosse Kammer], Saadi gegen Italien, Urteil vom 28. Februar 2008, Beschwerde Nr. 37201/06, §§ 124 - 127, mit weiteren Hinweisen). Der EGMR hat sich mit der Gefährdungssituation im Hinblick auf eine EMRK-widrige Behandlung für Tamilen, die aus einem europäischen Land nach Sri Lanka zurückkehren müssen,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Der Gerichtshof unterstreicht, dass nicht in genereller Weise davon auszugehen sei, zurückkehrenden Tamilen drohe eine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Aus den vorangegangenen Erwägungen ergibt sich, dass der Beschwerdeführer keiner in Bezug auf die Flüchtlingseigenschaft relevanten Risikogruppe im Sinne von BVGE 2011/24 angehört, weshalb nicht davon auszugehen ist, ihm drohe im Rahmen der routinemässigen Überprüfung bei der Rückkehr diesbezüglich eine unmenschliche Behandlung. Auch die allgemeine Menschenrechtssituation in Sri Lanka lässt den Wegweisungsvollzug zum heutigen Zeitpunkt nicht als unzulässig erscheinen (vgl. BVGE 2011/24 E. 10.4.2). An dieser Einschätzung vermögen auch die diesbezüglichen Einwände des Beschwerdeführers in der Beschwerdeschrift vom 29. Juni 2011 und der dort zitierte SFH-Bericht vom 1. Dezember 2010 nichts zu ändern, weshalb es sich erübrigt, weiter darauf einzugehen.</w:t>
      </w:r>
    </w:p>
    <w:p>
      <w:r>
        <w:rPr>
          <w:b/>
        </w:rPr>
        <w:t>E. 7.1.3</w:t>
      </w:r>
    </w:p>
    <w:p>
      <w:r>
        <w:t>Nach dem Gesagten ist der Vollzug der Wegweisung sowohl im Sinne der asyl- als auch der völkerrechtlichen Bestimmungen zulässig.</w:t>
      </w:r>
    </w:p>
    <w:p>
      <w:r>
        <w:rPr>
          <w:b/>
        </w:rPr>
        <w:t>E. 7.2</w:t>
      </w:r>
    </w:p>
    <w:p>
      <w:r>
        <w:t>Gemäss Art. 83 Abs. 4 AuG kann der Vollzug der Wegweisung für Ausländerinnen oder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7.2.1</w:t>
      </w:r>
    </w:p>
    <w:p>
      <w:r>
        <w:t>Der Beschwerdeführer beruft sich hinsichtlich der Frage der Zumutbarkeit des Wegweisungsvollzugs auf die Lagebeurteilung in BVGE 2008/2. Das Bundesverwaltungsgericht hat indes - wie bereits erwähnt - angesichts der veränderten Lage nach dem Ende des sri-lankischen Bürgerkriegs im Mai 2009 in seinem Grundsatzurteil BVGE 2011/24 eine neue, umfassende Analyse der Situation in Sri Lanka vorgenommen. Demnach hat sich seit dem Ende des bewaffneten Konflikts zwischen der sri-lankischen Armee und den LTTE im Mai 2009 die allgemeine Lage in Sri Lanka erheblich verbessert. Die Situation in der Ostprovinz hat sich weitgehend stabilisiert und normalisiert, so dass der Wegweisungsvollzug in das gesamte Gebiet der Ostprovinz als grundsätzlich zumutbar zu erachten ist. Auch der Wegweisungsvollzug in die Nordprovinz ist - mit Ausnahme des sogenannten Vanni-Gebiets (die Distrikte von Kilinochchi und Mullaitivu und die nördlichen Teile der Distrikte von Mannar und Vavuniya sowie einen schmalen Landstreifen an der Ostküste des Jaffna-Distrikts südlich von Nagarkovil umfassend), wohin eine Rückkehr aufgrund der weitgehend zerstörten Infrastruktur und der Verminung weiterhin unzumutbar ist - grundsätzlich zumutbar, wobei sich eine zurückhaltende Beurteilung der individuellen Zumutbarkeitskriterien aufdrängt. Für Personen, die aus dem übrigen Staatsgebiet von Sri Lanka (d.h. die Provinzen North Central, North Western, Central, Western [namentlich der Grossraum Colombo], Southern, Sabarugamuwa und die Uva-Provinz) stammen und dorthin zurückkehren, ist der Wegweisungsvollzug grundsätzlich zumutbar (vgl. BVGE 2011/24 E. 13).</w:t>
      </w:r>
    </w:p>
    <w:p>
      <w:r>
        <w:rPr>
          <w:b/>
        </w:rPr>
        <w:t>E. 7.2.2</w:t>
      </w:r>
    </w:p>
    <w:p>
      <w:r>
        <w:t>Der junge und ledige Beschwerdeführer, der keine gesundheitlichen Probleme geltend macht, stammt aus B._______ im Jaffna-Distrikt in der Nordprovinz, ausserhalb des Vanni-Gebiets. Er hat dort mit seiner Familie bis im Jahr 2006 gelebt und seine Eltern und seine Schwester sind seinen Angaben zufolge wieder dort wohnhaft (vgl. A1 S. 3). In Vavuniya - ebenfalls ausserhalb des Vanni-Gebiets - lebt zudem sein Onkel väterlicherseits, der ihm die Ausreise finanziert habe. Von Juli 2009 bis zur Ausreise am 22. Mai 2010 hat der Beschwerdeführer bei einem Freund des besagten Onkels in Vavuniya gelebt. Der Beschwerdeführer verfügt damit im nicht zum Vanni-Gebiet gehörenden Teil der Nordprovinz über ein tragfähiges Beziehungsnetz und es ist davon auszugehen, dass er dort bei einer Rückkehr wiederum Unterstützung und zumindest für die erste Zeit eine gesicherte Wohnsituation vorfinden wird. Zwar war er bisher nicht erwerbstätig, aber er verfügt über eine zehnjährige Schulbildung (vgl. A1 S. 3), die ihm künftig den Aufbau einer Existenzgrundlage ermöglichen sollte. Eine allfällige schweizerische Rückkehrhilfe kann ihm den Wiedereinstieg in Sri Lanka ebenfalls erleichtern (Art. 62 ff. der Asylverordnung 2 vom 11. August 1999 über Finanzierungsfragen [AsylV 2, SR 142.312]). Die Ortswechsel innerhalb Sri Lankas und die Bereitschaft, allein in die Schweiz zu reisen, lassen zudem auf die Fähigkeit des Beschwerdeführers schliessen, sich an veränderte Verhältnisse anzupassen. Im Übrigen genügen bloss soziale und wirtschaftliche Schwierigkeiten, von denen die ansässige Bevölkerung im Allgemeinen betroffen ist, nicht, um eine konkrete Gefährdung im Sinne von Art. 83 Abs. 4 AuG darzustellen (vgl. BVGE 2008/34 E. 11.2.2).</w:t>
      </w:r>
    </w:p>
    <w:p>
      <w:r>
        <w:rPr>
          <w:b/>
        </w:rPr>
        <w:t>E. 7.2.3</w:t>
      </w:r>
    </w:p>
    <w:p>
      <w:r>
        <w:t>Der Vollzug der Wegweisung des Beschwerdeführers erweist sich somit sowohl in genereller als auch in individueller Hinsicht als zumutbar, zumal er die "zwangsweise Rückführung", zu welcher Vorgehensweise er sich in der Beschwerde unter Verweis auf verschiedene Quellen geäussert hat, durch eine freiwillige Rückkehr vermeiden kann.</w:t>
      </w:r>
    </w:p>
    <w:p>
      <w:r>
        <w:rPr>
          <w:b/>
        </w:rPr>
        <w:t>E. 7.3</w:t>
      </w:r>
    </w:p>
    <w:p>
      <w:r>
        <w:t>Der Wegweisungsvollzug ist schliesslich auch als möglich zu bezeichnen, da keine Vollzugshindernisse bestehen (Art. 83 Abs. 2 AuG), und es dem Beschwerdeführer obliegt, bei der allenfalls notwendigen Beschaffung gültiger Reisepapiere mitzuwirken (Art. 8 Abs. 4 AsylG; vgl. dazu auch BVGE 2008/34 E. 12 S. 513 ff.).</w:t>
      </w:r>
    </w:p>
    <w:p>
      <w:r>
        <w:rPr>
          <w:b/>
        </w:rPr>
        <w:t>E. 7.4</w:t>
      </w:r>
    </w:p>
    <w:p>
      <w:r>
        <w:t>Der durch die Vorinstanz verfügte Wegweisungsvollzug ist damit zu bestätigen und die Anordnung der vorläufigen Aufnahme des Beschwerdeführers fällt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somit abzuweisen.</w:t>
      </w:r>
    </w:p>
    <w:p>
      <w:r>
        <w:rPr>
          <w:b/>
        </w:rPr>
        <w:t>E. 9</w:t>
      </w:r>
    </w:p>
    <w:p>
      <w:r>
        <w:t>Bei diesem Ausgang des Verfahrens wären dessen Kosten grundsätzlich dem Beschwerdeführer aufzuerlegen (Art. 63 Abs. 1 VwVG). Da ihm indessen mit Zwischenverfügung vom 15. Juli 2011 die unentgeltliche Rechtspflege im Sinne von Art. 65 Abs. 1 VwVG gewährt wurde und weiterhin von der prozessualen Bedürftigkeit des Beschwerdeführers auszugehen ist,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