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D-369/2008 vom 18. März 2013</w:t>
      </w:r>
    </w:p>
    <w:p>
      <w:r>
        <w:t>Bundesverwaltungsgericht, 2013-03-18, DE</w:t>
      </w:r>
    </w:p>
    <w:p>
      <w:r>
        <w:rPr>
          <w:b/>
        </w:rPr>
        <w:t xml:space="preserve">Quelle: </w:t>
      </w:r>
      <w:r>
        <w:t>https://mcp.opencaselaw.ch/entscheid/bvger_D-369_2008</w:t>
      </w:r>
    </w:p>
    <w:p>
      <w:r>
        <w:t>FR: TAF D-369/2008 du 18 mars 2013</w:t>
      </w:r>
    </w:p>
    <w:p>
      <w:r>
        <w:t>IT: TAF D-369/2008 del 18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lassen die Beschwerdeführenden unter anderem ausführen, dass die vom BFM begründete Ablehnung ihrer Asylgesuche (vgl. Bst. F hiervor) nicht verhalte. Die angefochtene Verfügung behafte sie auf unzulässig haarspalterische Weise auf Wortwendungen in den Angaben und Aussagen und interpretiere daraus vorgefasst angebliche "Widersprüche" oder "Unglaubhaftigkeitsmerkmale", die den tatsächlichen Gegebenheiten der Beschwerdeführenden nicht gerecht würden. Gänzlich falsch und geradezu grob willkürlich sei zu werten, dass die Vorinstanz die eheliche Verbindung des Beschwerdeführers mit seiner "Lebenspartnerin" nicht als rechtsgültig anerkennen wolle. Die Einziehung zur Vernichtung des Ehedokuments vom 21. Februar 2003 sei krass störend und ausserhalb des rechtlich zulässigen Ermessens der Ausländerbehörde. So sei besagtes Dokument, obschon im Aktenverzeichnis aufgeführt, dem Rechtsvertreter der Beschwerdeführenden im Rahmen der Akteneinsicht weder zugestellt noch unter den nicht zur Einsicht gewährten Urkunden aufgeführt worden. Offenbar sei der Ehevertrag vom 21. Februar 2003 nicht mehr vorhanden. Das BFM sei zur Aufklärung einzuladen. Alles in allem seien die Angaben des Beschwerdeführers entgegen der angefochtenen Verfügung gerade nicht ungereimt, sondern im Gegenteil nachvollziehbar glaubwürdig ausgefallen; seine Aussagen würden überzeugen. Er und seine Frau seien "asylwürdig" und ihre Gesuche demnach gutzuheissen. Dies gelte insbesondere für die Aussagen des Beschwerdeführers betreffend die Inhaftierung, welche im Kern immer gleich gelautet habe. Daran ändere auch die unterschiedliche Protokollierung von Einzeldaten nichts und die politisch motivierte Verfolgung erleide dadurch keine Einschränkung. Diese werde im Übrigen auch durch seine Aktivitäten in der Schweiz glaubwürdig nachvollziehbar, habe er doch an Kundgebungen gegen das Regime seines Herkunftslandes teilgenommen, und er sei Teil der Exil-Gemeinde, die sich regelmässig treffe und berate. So gesehen mache der Beschwerdeführer Nachfluchtgründe geltend, indem er bei einer allfälligen Rückkehr in den Sudan mit erheblichen Sanktionen rechnen müsse. Insgesamt sei die angefochtene Verfügung in ihrer Begründung unhaltbar und daher aufzuheben. Aus den genannten Gründen sei die Rückkehr des Beschwerdeführers in sein Herkunftsland objektiv nicht möglich. Die massgeblichen Organisationen würden die Verhältnisse im Sudan, auch ausserhalb von Darfur, eindrücklich schildern. Daraus sei zu schliessen, dass für ihn schon aufgrund der konkreten Gegebenheiten in seinem Herkunftsgebiet die Möglichkeit und Zumutbarkeit einer Rückkehr nicht mehr bestehe beziehungs-weise eine Rückkehr oder Wegweisung für ihn in jedem Fall tödlich enden müsste.</w:t>
      </w:r>
    </w:p>
    <w:p>
      <w:r>
        <w:rPr>
          <w:b/>
        </w:rPr>
        <w:t>E. 4.2.1</w:t>
      </w:r>
    </w:p>
    <w:p>
      <w:r>
        <w:t>Die in der angefochtenen Verfügung den Beschwerdeführenden von der Vorinstanz vorgeworfenen Unglaubhaftigkeitselemente finden Stütze in den Akten. Die durch das Bundesverwaltungsgericht vorgenommene Überprüfung führt zur gleichen Erkenntnis. Ebenfalls wurden die Beschwerdeführenden im Einklang mit der Rechtsprechung (vgl. Entscheidungen und Mitteilungen der Schweizerischen Asylrekurskommission [EMARK] 1994 Nr. 14) mit den Widersprüchen in ihren Aussagen konfrontiert, und sie erhielten Gelegenheit, hierzu Stellung zu nehmen (vgl. insbesondere Stellungnahme vom 18. Dezember 2007). Zur Vermeidung von Wiederholungen kann daher vollumfänglich auf die nicht zu beanstandenden Erwägungen im Entscheid des BFM vom 27. Dezember 2007 verwiesen werden.</w:t>
      </w:r>
    </w:p>
    <w:p>
      <w:r>
        <w:rPr>
          <w:b/>
        </w:rPr>
        <w:t>E. 4.2.2</w:t>
      </w:r>
    </w:p>
    <w:p>
      <w:r>
        <w:t>Die Vorbringen in der Rechtsmitteleingabe sind nicht geeignet, eine Änderung der angefochtenen Verfügung zu bewirken. Die gegen die vorinstanzlichen Erwägungen gerichteten Vorbringen erweisen sich als Behauptungen und unbehelfliche Erklärungsversuche. Den zahlreichen minutiös von der Vorinstanz aufgelisteten Unstimmigkeiten und Ungereimtheiten wird lediglich teilweise begegnet und die diesbezüglichen Ausführungen führen keine Klärung der aufgezeigten Divergenzen herbei. So erweist sich die pauschale Begründung als wenig überzeugend, wonach die nicht genau deckungsgleichen Antworten der Beschwerdeführenden im Zusammenhang mit dem Zeitpunkt des Kennenlernens respektive mit demjenigen der Heirat auf Erinnerungslücken während den Befragungen beruhen würden oder die nicht stereotyp, gleichlautenden, wie auswendig gelernten Angaben müssten als zugunsten der Glaubhaftigkeit sprechend erachtet werden. Insbesondere wirkt die Schlussfolgerung des Rechtsvertreters der Beschwerdeführenden befremdend, wenn ausgeführt wird, die Begründung des BFM hinsichtlich der zeitlichen Diskrepanz zwischen dem Zeitpunkt des Kennenlernen und der Heirat, sei eine "apodiktische Falschbehauptung", die ohnehin nicht massgebend für die Beurteilung der Gewährung von Asyl gewesen wäre. Unzutreffend erweist sich gar das Vorbringen, wonach die Anwesenheit der Eltern/Schwiegereltern bei der Hochzeit missverständlich ausgelegt worden sei und diese zum Brautpaar im Anschluss an die eine Woche dauernden Feierlichkeiten gestossen seien. Der Beschwerdeführer erklärte auf diverse ihm in diesem Zusammenhang gestellte Fragen, dass es kein grosses Fest gegeben habe; dieses habe einen Tag gedauert (A40 S. 10). Als unverständlich zu werten sind ebenfalls die Ausführungen, es sei für die Beschwerdeführenden ungewohnt, durch professionelle Befrager interviewt zu werden oder sie seien schon ausbildungsmässig nicht in der Lage, die Wirkung ihrer Antworten im Einzelnen abzuschätzen. Gleichermassen verhält es sich letztlich mit den Ausführungen, wonach unterschiedliche Aussagen sich unter anderem auf die Befragungssprache (amharisch/arabisch) oder die Dauer der Befragungen zurückführen liessen. Es ist nicht einzusehen, weshalb die Beschwerdeführenden ausgerechnet bei den Behörden, bei denen sie um Schutz nachsuchen, über Selbst- und gemeinsam Erlebtes derart divergierende Aussagen machen. Ferner verneinten die Beschwerdeführenden wiederholt Verständigungsschwierigkeiten. Auch ist darauf hinzuweisen, dass der Beschwerdeführer als (Berufsausübung) für sich und seine über eine (Anzahl)-jährige Schulbildung verfügende Lebenspartnerin während Jahren ein wirtschaftliches Fortkommen erzielen konnte. Nicht unerwähnt bleiben darf, dass in der Rechtsmitteleingabe kein Wort über die von den Beschwerdeführenden unterschiedlich geschilderten Reiseumstände verloren wird. Insbesondere unterbleiben Ausführungen zu den der Beschwerdeführerin von der Vorinstanz vorgehaltenen fehlenden Kenntnisse hinsichtlich Darfur und der Region, in der sie jahrelang gelebt haben will. Ohne konkret aufzuzeigen, inwiefern die Beschwerdeführenden Verfolgung und Bedrohung im Heimatland aus politischen, sozialen und religiösen Gründen ausgesetzt gewesen sind, wird schliesslich in Bezug auf den Beschwerdeführer behauptet, er habe die Verfolgungen, die Haft und Folter überzeugend, glaubwürdig und im Kern übereinstimmend angegeben. Die diesbezügliche Beurteilung in der angefochtenen Verfügung liege falsch. Dieser Pauschalisierung kann aber keineswegs gefolgt werden. Die Beschwerdeführerin erklärte, weder politisch tätig gewesen zu sein noch irgendwelche persönlichen Probleme mit den sudanesischen Behörden gehabt zu haben; sie habe den Sudan wegen ihres Partners verlassen. Der Beschwerdeführer gab wiederholt zu verstehen, sich weder politisch betätigt noch für Politik interessiert zu haben. Zudem unterlässt er es in der Rechtsmitteleingabe, zu den in der angefochtenen Verfügung im Zusammenhang mit der behaupteten Verfolgungssituation angeführten zahlreichen weiteren Ungereimtheiten Stellung zu nehmen. Nicht zuletzt wäre auch darauf hinzuweisen, dass sich seine Schilderungen auf Beschwerdestufe rund um die angebliche Inhaftierung und deren Folgen letztlich wohl kaum mit dem von ihm im vorinstanzlichen Verfahren vorgebrachten Sachvortrag in Einklang bringen liesse. So führte er unter anderem aus, Beschimpfungen, Beleidigungen und Schläge habe es zum Frühstück und Mittagessen gegeben. Anlässlich der ergänzenden Bundesanhörung sprach er bloss von nicht weiter substanziierten täglichen Misshandlungen. Die Freilassung sei sodann ohne Auflagen erfolgt, weil man festgestellt habe, dass er nichts angestellt habe und die aufgrund der hygienischen Verhältnisse im Gefängnis (Läuse) davongetragenen Beschwerden habe man mit einer Salbe beseitigen können. Ebenfalls sei es ihm möglich gewesen, nach seiner Entlassung ohne namhafte negative Konsequenzen bis kurz vor der Ausreise seinem Beruf als (Berufsausübung) nachzugehen. In Rahmen einer Gesamtwürdigung ist somit festzustellen, dass die Vorbringen der Beschwerdeführenden den Anforderungen an die Glaubhaftigkeit gemäss Art. 7 AsylG nicht genügen und das Bundesverwaltungsgericht die von der Vorinstanz gezogenen Schlussfolgerungen teilt, wonach die Beschwerdeführenden die letzten Jahre vor ihrer Ausreise nicht in Darfur verbracht haben und demzufolge die Grundlage für die von ihnen behauptete Verfolgungssituation fehlt. Bei dieser Sachlage erübrigen sich weitere Erörterungen.</w:t>
      </w:r>
    </w:p>
    <w:p>
      <w:r>
        <w:rPr>
          <w:b/>
        </w:rPr>
        <w:t>E. 4.3</w:t>
      </w:r>
    </w:p>
    <w:p>
      <w:r>
        <w:t>In Bezug auf den in der Beschwerde im Zusammenhang mit dem Ehevertrag vom 21. Februar 2003 erhobenen Einwand kann zur Vermeidung von Wiederholungen zum einen vollumfänglich auf die nicht zu beanstandenden Ausführungen des BFM in seiner Vernehmlassung vom 31. Januar 2008 verwiesen werden (vgl. Bst. I hiervor). Zum anderen wurde dem Rechtsvertreter gestützt auf dessen Ausführungen in der Replik vom 10. März 2008 (u.a. zu einem nicht offen gelegten Ehevertrag könne keine Stellung genommen werden) mit Instruktionsverfügung vom 13. März 2008 besagtes Dokument unter ausdrücklichem Hinweis auf Art. 32 Abs. 2 VwVG in Kopie zugestellt (vgl. Bst. J und K hiervor). Die Beschwerdeführenden liessen in der Folge die Zeit für eine allfällige Stellungnahme bis zum Zeitpunkt des Urteils (5 Jahre) jedoch unbenützt verstreichen, weshalb sie die aus dieser Unterlassung resultierenden Konsequenzen (Nichtbeseitigung respektive -entkräftung des Fälschungsvorwurfs) zu tragen haben. Angesichts dieser Sachlage erübrigen sich weitere Erörterungen hierzu. Besagte Urkunde bleibt in Anwendung von Art. 10 Abs. 4 AsylG eingezogen.</w:t>
      </w:r>
    </w:p>
    <w:p>
      <w:r>
        <w:rPr>
          <w:b/>
        </w:rPr>
        <w:t>E. 4.4.1</w:t>
      </w:r>
    </w:p>
    <w:p>
      <w:r>
        <w:t>Für die Beurteilung des Vorliegens der Flüchtlingseigenschaft ist jedoch nicht allein der Zeitpunkt der Ausreise aus dem Heimatland, son­dern die Situation im Zeitpunkt des Asylentscheides massgebend (vgl. BVGE 2008/4 E. 5.4 S. 38f.; EMARK 2005 Nr. 18 E. 7.1 S. 164). 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BVGE 2009/28 E. 7.1 S. 352; EMARK 2006 Nr. 1 E. 6.1 S. 10, 2000 Nr. 16 E. 5a S. 141 f.). Subjektive Nachfluchtgründe begründen zwar die Flüchtlingseigenschaft im Sinne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4.4.2</w:t>
      </w:r>
    </w:p>
    <w:p>
      <w:r>
        <w:t>Hinsichtlich der auf Beschwerdeebene vorgebrachten subjektiven Nachfluchtgründe des Beschwerdeführers aufgrund seiner in der Schweiz ausgeübten Tätigkeiten (vgl. E. 4.1) ist vorab festzuhalten, dass er anlässlich der Befragungen irgendwelche Probleme mit den heimatlichen Behörden oder Organisationen mit Ausnahme der als unglaubhaft erachteten Vorbringen ausdrücklich in Abrede stellte. Ebenso verneinte er ausdrücklich die Frage nach allfälligen politischen Betätigungen. Mit anderen Worten gilt der Beschwerdeführer als unbescholtener Staatsangehöriger des Sudans, der wie eine Vielzahl seiner Landsleute den als widerwärtig empfundenen Umständen des Alltagsleben in seiner Herkunftsregion ausgesetzt gewesen war. Ferner ist gemäss den Erkenntnissen des Bundesverwaltungsgerichts das Interesse der sudanesischen Behörden auf eigentliche staats­ge­fährdende Regimegegner ausgerichtet; diese werden mit den zur Verfügung stehenden, beschränkten Personalressourcen über­wacht, soweit dies überhaupt möglich ist. Für die Beobachtung von unter­schwelligen Aktivitäten seiner emigrierten Landsleute, mit denen diese häufig ein Bleiberecht in ihrem Zielland anvisieren, fehlen dem suda­nesischen Staat die Ressourcen. Was sodann die vom Beschwerdeführer geltend gemachten Tätigkeiten in der Schweiz anbelangt, kann zur Vermeidung von Wiederholungen auf die nicht zu beanstandenden Ausführungen der Vorinstanz in ihrer Vernehmlassung vom 31. Januar 2008 verwiesen werden (vgl. Bst. F hiervor). Ergänzend ist ihnen beizufügen, dass sämtliche Privatfotos gemäss Aufdruck auf der Vorder- oder Rückseite einige Zeit vor Erlass der angefochtenen Verfügung datieren und demnach - entgegen dem Vorbringen in der Replik vom 10. März 2008 - nicht erst auf Beschwerdestufe hätten eingebracht werden können. Bereits aus diesem Umstand können erste Rückschlüsse gezogen werden, wonach diese dokumentierten Begebenheiten für den Beschwerdeführer im vorliegenden Verfahren nicht von tragender respektive massgebender Bedeutung waren. Die als "Darfour Vorbereitungskommission 1.12.2005" bezeichneten zwei Fotos lassen ferner in der Tat keinen politischen Kontext erkennen, zumal auf ihnen lediglich diverse Personen in einem neutralen Raum abgelichtet sind und sich daraus keine Schlüsse über eine Zusammenkunft allenfalls regimekritischer respektive -feindlicher Leute ziehen lassen, welche Vorbereitungsmassnahmen für die Durchführung einer beabsichtigten Kundgebung treffen. Auf den beiden anderen Privatfotos, welche von Januar und Dezember 2006 datieren, wird von einer relativ kleine Gruppe von Menschen auf die Situation in Darfur hingewiesen. Nebst dem in diesem Zusammenhang von der Vorinstanz in der Vernehmlassung Ausgeführten, ist auch eine vom Beschwerdeführer daraus abgeleiteten Gefährdungssituation im Falle seiner Rückkehr ins Heimatland als kaum wahrscheinlich zu bezeichnen, zumal weder ersichtlich noch dargetan wird, inwiefern die sudanesischen Behörden von seinen diesbezüglich in der Schweiz ausgeübten Tätigkeiten überhaupt Kenntnis erlangt haben sollen. Ebenfalls weist die Häufigkeit der vom Beschwerdeführer in diesem Zusammenhang geltend gemachten Teilnahmen an Kundgebungen zusätzlich darauf hin, dass in seinem Fall, von einem - im Gegensatz zu einer als politisch exponiert geltenden Person - nicht weiter nachteilige Konsequenzen zu befürchtenden Anhänger auszugehen ist. Diese Sichtweise erfährt umso mehr Gewicht, als die Vereinsstatuten des Darfur Friedens- und Entwicklungs-Zentrum, DFEZ, eine Wohltätigkeitsorganisation mit Hauptsitz in Uster (Kanton Zürich) festhalten, eine unabhängige, unparteiische und apolitische nicht gewinnorientierte Nichtregierungs-Organisation zu sein und als eine Mitglieder-Organisation gedacht sei, welche Einzelpersonen aus allen Teilen der Welt vereinige. Insgesamt gesehen hat sich der Be­schwer­de­führer nicht in einer Art und Weise exponiert, dass er von den heimat­lichen Behörden als staatsgefährdend qualifiziert würde. Es besteht mithin kein hinreichender Anlass zur An­nahme, dass er wegen seiner exilpolitischen Aktivitäten bei einer Rück­kehr in den Sudan mit ernsthaften Nachteilen von Seiten des sudanesischen Regimes zu rechnen hätte. Zu keiner anderen Beurteilung führt die im November 2011 eingereichte und von demselben Monat datierende Bestätigung über die aktive Mitgliedschaft des Beschwerdeführers bei der JEM. Über die Art und Weise (u.a. Position, Umfang der Aktivitäten etc.) wie sich der Beschwerdeführer für diese Organisation während seines Aufenthalts in der Schweiz engagiert haben will, gibt das Schreiben keinen Aufschluss. Dem Gefälligkeitscharakter aufweisenden Bestätigungsschreiben vom 6. November 2011 kann daher beweisrechtlich keine Bedeutung beigemessen werden. Angesichts dieser Sachlage - subjektive Nachfluchtgründe sind zu verneinen - braucht auf die übrigen Vorbringen in diesem Zusammenhang nicht eingegangen zu werden.</w:t>
      </w:r>
    </w:p>
    <w:p>
      <w:r>
        <w:rPr>
          <w:b/>
        </w:rPr>
        <w:t>E. 4.5</w:t>
      </w:r>
    </w:p>
    <w:p>
      <w:r>
        <w:t>Zusammenfassend ist festzustellen, dass die Beschwerdeführenden keine Verfolgungssituation in Bezug auf den Zeitpunkt der Ausreise nachweisen oder glaubhaft machen konnten. Ebenfalls ist festzuhalten, dass die Beschwerdeführenden im Falle einer Rückkehr in den Heimatstaat nicht befürchten müssen, aufgrund des exilpolitischen Engagements des Beschwerdeführers einer Verfolgung im Sinne von Art. 3 AsylG ausgesetzt zu sein oder begründete Furcht zu haben, einer solchen aus­gesetzt werden zu können. Sie können daher nicht als Flüchtlinge aner­kannt werden. Die Vorinstanz hat die Asylgesuche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 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E.5.4 S. 748; EMARK 2006 Nr. 6 E. 4.2. S. 54 f., wobei zu berücksichtigen ist, dass die Bestimmung über die vorläufige Aufnahme zufolge einer schwerwiegenden persönlichen Notlage im Sinne von Art. 44 Abs. 3 AsylG per 1. Januar 2007 aufgehoben worden ist). Gegen eine allfällige Aufhebung der vorläufigen Aufnahme steht der (ab- und weggewiesenen) Asyl suchenden Person wiederum die Beschwerde an das BVGer offen (vgl. Art. 105 AsylG i. V. m. Art. 44 Abs. 2 AsylG), wobei in jenem Verfahren sämtliche Vollzugshindernisse von Amtes wegen und nach Massgabe der dannzumal herrschenden Verhältnisse von Neuem zu prüfen sind (vgl. BVGE 2009/51 E.5.4 S.748; EMARK 2006 Nr. 6 E. 4.2. S. 54 f., EMARK 1997 Nr. 27 S. 205 ff.).</w:t>
      </w:r>
    </w:p>
    <w:p>
      <w:r>
        <w:rPr>
          <w:b/>
        </w:rPr>
        <w:t>E. 6.2</w:t>
      </w:r>
    </w:p>
    <w:p>
      <w:r>
        <w:t>Gemäss Art. 83 Abs. 4 AuG (in Kraft getreten am 1. Januar 2008)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 Darfur, die Heimatregion des Beschwerdeführers (vgl. Bst. C hiervor), ist seit mehreren Jahren Schauplatz eines blutigen Bürgerkrieges. Es herrscht eine Situation allgemeiner Gewalt und der Vollzug der Wegweisung dorthin ist gemäss Rechtsprechung nach wie vor nicht zumutbar (EMARK 2006 Nr. 25). Wie oben dargelegt wurde ein Aufenthalt der Beschwerdeführenden in Darfur die letzten Jahre vor ihrer Ausreise aber als unglaubhaft erachtet. Es stellt sich nun die Frage, ob ein allfälliger Wegweisungsvollzug der Beschwerdeführenden in einem anderen Teil des sudanesischen Staatsgebietes, beispielsweise nach Khartum, zumutbar und möglich ist. Aus dem jüngst ergangenen Urteil D-4808/2010 des Bundesverwaltungsgerichts vom 4. Februar 2013, in dem Prüfungsgegenstand analog dem Grundsatzurteil BVGE 2011/51 die Frage der Zumutbarkeit der innerstaatliche Fluchtalternative in den Grossraum Khartum bildete, wird eine solche in dieser Region unter der Voraussetzung einer vorzunehmenden Einzelfallprüfung bejaht. Demnach wären die Beschwerdeführenden bei einer Rückkehr in dieses Gebiet keiner konkreten Gefährdung im Sinne von Art. 83 Abs. 4 AuG ausgesetzt. Der Wegweisungsvollzug in den Grossraum Khartum würde sich somit nicht als generell unzumutbar erweisen. Indes erachtet das Bundesverwaltungsgericht in casu einen Wegweisungsvollzug der Beschwerdeführenden als unzumutbar. Der Beschwerdeführer und seine Partnerin, ein gemischt nationales Paar, gelangten vor beinahe acht Jahren in die Schweiz, wo die gemeinsamen Kinder zur Welt kamen. Der Beschwerdeführer besuchte gemäss seinen Angaben während (Anzahl) Jahren die Schule. Weiter gab er an, dass er neben zagawa, seiner Muttersprache, arabisch könne und seit 1987 bis zur Ausreise einer Erwerbstätigkeit als (Berufsausübung) nachgegangen sei. Die Partnerin des Beschwerdeführers absolvierte während (Anzahl) Jahren die Primar- und Sekundarschule in ihrem Heimatland (Äthiopien). Ihren Angaben zufolge spricht sie mittelmässig arabisch. Den Ausführungen des Beschwerdeführers ist zudem zu entnehmen, dass es ihm seit seiner Einreise in die Schweiz nicht gelungen sei, einen Kontakt zu seiner Familie im Sudan herzustellen. Ferner verneinte er die Frage nach weiteren Verwandten. Die Beschwerdeführenden könnten mit ihren beiden Kindern im Falle einer Rückkehr in den Sudan nicht auf ein Beziehungsnetz zurückgreifen, sondern wären auf sich allein gestellt, was unter dem Gesichtspunkt der Reintegration ein nicht zu unterschätzendes Erschwernis darstellen dürfte. Insbesondere dürfte angesichts der langen Landesabwesenheit sowie der im oberwähnten Urteil geschilderten allgemeinen Situation im Grossraum Khartum (vgl. E. 5.3.4 bis E. 5.3.9 S. 14 bis 17 des Urteils) ein wirtschaftliches Fortkommen des Beschwerdeführers, der für eine zureichende Versorgung respektive das Wohlergehen einer vierköpfigen Familie zu sorgen hat, fraglich erscheinen. Ungeachtet dieser Ausführungen respektive einer abschliessenden Beurteilung von allfälligen Zumutbarkeitsaspekten in Bezug auf den Beschwerdeführer und seine Partnerin gilt es indessen die von der Rechtsprechung entwickelten Grundsätze zum Kindswohl zu beachten. Sind nämlich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dazu BVGE 2009/28 E. 9.3 S. 367 ff.; EMARK 2006 Nr. 24 E. 6.2.3 S. 259 f., EMARK 2005 Nr. 6 E. 6.2 S. 57 f). Die heute (Anzahl) und (Anzahl) -jährigen Kinder haben ihr ganzes bisheriges Leben in der Schweiz verbracht und dürften an die schweizerische Lebensweise assimiliert bzw. insbesondere durch ihre mittlerweilen erfolgten Einschulungen ([...]) in erheblichem Mass durch das hiesige kulturelle und soziale Umfeld geprägt sein. Demgegenüber werden sie kaum über jene Kenntnisse ihrer Muttersprache verfü­gen, welche für eine erfolgreiche Eingliederung ins Schulsystem in der Heimat vorauszusetzen wären. Auch angesichts der kulturellen Differenzen zwischen der Schweiz sowie dem Sudan sowie des Umstandes, dass sie in der Heimat über keinerlei Bezugspersonen verfügen, wäre ihre Integration in der Hei­mat in erhöhtem Mass in Frage gestellt. Es besteht bei dieser Sachlage für die beiden Kinder der Beschwerdeführenden somit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andererseits zu starken Belastungen in ihren kindlichen Entwick­lungen führen würden, die mit dem Schutzanliegen des Kindeswohls nicht zu ver­einbaren wären.</w:t>
      </w:r>
    </w:p>
    <w:p>
      <w:r>
        <w:rPr>
          <w:b/>
        </w:rPr>
        <w:t>E. 6.3</w:t>
      </w:r>
    </w:p>
    <w:p>
      <w:r>
        <w:t>Nach dem Gesagten erachtet das Bundesverwaltungsgericht den Voll­zug der Wegweisung im vorliegenden Einzelfall unter Berücksichti­gung der erwähnten Gesichtspunkte zum heutigen Zeitpunkt insgesamt als un­zumutbar im Sinne von Art. 83 Abs. 4 AuG. Die Verfügung der Vorinstanz ist daher hinsichtlich des Vollzuges der Wegweisung gutzuheissen. Das BFM ist anzuweisen, in Aufhebung der Ziffern 4 und 5 des Dispositivs der Verfügung vom 27. Dezember 2007 den Beschwerdeführenden die vorläufige Aufnahme zu gewähren. Einer solchen stehen im Übrigen auch keine einschränkenden gesetzlichen Tatbe­stände ent­gegen (vgl. Art. 83 Abs. 7 AuG).</w:t>
      </w:r>
    </w:p>
    <w:p>
      <w:r>
        <w:rPr>
          <w:b/>
        </w:rPr>
        <w:t>E. 7.1</w:t>
      </w:r>
    </w:p>
    <w:p>
      <w:r>
        <w:t>Mit Instruktionsverfügung vom 24. Januar 2008 wurde das Gesuch um Gewährung der unentgeltlichen Rechtspflege im Sinne von Art. 65 Abs. 1 VwVG - unter Vorbehalt einer nachträglichen Veränderung der finanziellen Verhältnisse der Beschwerdeführenden - gutgeheissen. Abklärungen haben ergeben, dass der Beschwerdeführer einer geregelten Erwerbstätigkeit als (...) nachgeht. Indes erweist sich die Höhe des dabei erzielten Einkommens in Berücksichtigung des Umstands, dass er den Unterhalt eines vier Personenhaushalts zu bestreiten hat, als keine derart wesentliche nachträgliche Veränderung der finanziellen Verhältnisse, welche die Aufhebung der gewährten unentgeltlichen Rechtspflege im Sinne von Art. 65 Abs. 1 VwVG rechtfertigen würde. Den Beschwerdeführenden sind demzufolge keine Kosten aufzuerlegen.</w:t>
      </w:r>
    </w:p>
    <w:p>
      <w:r>
        <w:rPr>
          <w:b/>
        </w:rPr>
        <w:t>E. 7.2</w:t>
      </w:r>
    </w:p>
    <w:p>
      <w:r>
        <w:t>Den Beschwerdeführenden ist angesichts des teilweisen Obsiegens (hinsichtlich des Vollzugs der Wegweisung) in Anwendung von Art. 64 Abs. 1 VwVG i.V.m. Art. 37 VGG für die Kosten der Vertretung und allfälligen weiteren notwen­digen Auslagen eine reduzierte Parteientschädigung zuzusprechen (vgl. auch Art. 7 des Reglements über die Kosten und Entschädigungen vor dem Bundesverwaltungsgericht vom 21. Februar 2008 [VGKE, SR 173.320.2]). Der Rechtsvertreter der Beschwerdeführenden reichte keine Kostennote ein. Der notwendige Vertretungsaufwand lässt sich aber aufgrund der Aktenlage und in Anlehnung an ähnlich gelagerte Fälle zuverlässig abschätzen. Die reduzierte Parteientschädigung ist unter Berücksich­tigung der massgebenden Berechnungsfaktoren von Amtes wegen auf Fr. 1'000.- festzusetzen ist (Art. 14 Abs. 2 VGKE). Das BFM ist zu verpflichten,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