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D-3698/2018 vom 11. Dezember 2020</w:t>
      </w:r>
    </w:p>
    <w:p>
      <w:r>
        <w:t>Bundesverwaltungsgericht, 2020-12-11, IT</w:t>
      </w:r>
    </w:p>
    <w:p>
      <w:r>
        <w:rPr>
          <w:b/>
        </w:rPr>
        <w:t xml:space="preserve">Quelle: </w:t>
      </w:r>
      <w:r>
        <w:t>https://mcp.opencaselaw.ch/entscheid/bvger_D-3698_2018</w:t>
      </w:r>
    </w:p>
    <w:p>
      <w:r>
        <w:t>FR: TAF D-3698/2018 du 11 décembre 2020</w:t>
      </w:r>
    </w:p>
    <w:p>
      <w:r>
        <w:t>IT: TAF D-3698/2018 del 11 dicembre 2020</w:t>
      </w:r>
    </w:p>
    <w:p>
      <w:pPr>
        <w:pStyle w:val="Heading2"/>
      </w:pPr>
      <w:r>
        <w:t>Regeste</w:t>
      </w:r>
    </w:p>
    <w:p>
      <w:r>
        <w:t>Asilo ed allontanamento (domanda multipla/decisione di riesame)</w:t>
      </w:r>
    </w:p>
    <w:p>
      <w:pPr>
        <w:pStyle w:val="Heading2"/>
      </w:pPr>
      <w:r>
        <w:t>Erwägungen</w:t>
      </w:r>
    </w:p>
    <w:p>
      <w:r>
        <w:rPr>
          <w:b/>
        </w:rPr>
        <w:t>E. 1</w:t>
      </w:r>
    </w:p>
    <w:p>
      <w:r>
        <w:t>Le procedure in materia d'asilo sono rette dalla PA, dalla LTAF e dalla LTF, in quanto la legge sull'asilo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(vart.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Ai sensi dell'art. 111a cpv. 1 LAsi si rinuncia allo scambio degli scritti.</w:t>
      </w:r>
    </w:p>
    <w:p>
      <w:r>
        <w:rPr>
          <w:b/>
        </w:rPr>
        <w:t>E. 4</w:t>
      </w:r>
    </w:p>
    <w:p>
      <w:r>
        <w:t>Preliminarmente il Tribunale osserva che il ricorso avversa una decisione della SEM riguardante una domanda multipla. Nell'ambito di una domanda multipla ai sensi dell'art. 111c LAsi vanno esaminati i motivi che non si riferiscono alla procedura d'asilo anteriore (cfr. DTAF 2014/39 consid. 4.5). Si tratta infatti di una nuova domanda riguardante motivi d'asilo intervenuti dopo il passaggio in giudicato della decisione precedente (cfr. DTAF 2016/17 consid. 4.1). Non di meno, va rammentato che in presenza di una sentenza del Tribunale, i fatti rilevanti attinenti ai motivi già invocati e giunti a conoscenza dell'interessato susseguentemente alla pronuncia della sentenza ed i mezzi di prova decisivi ritrovati posteriormente alla stessa ma già esistenti, rientrano nell'ambito dei motivi di revisione ai sensi dell'art. 123 cpv. 2 lett. a LTF, applicabile su rinvio dell'art. 45 LTAF, e non riguardano dunque la presente procedura ricorsuale. Di principio, sono dunque le sole circostanze prodottesi dopo la sentenza del Tribunale D-4396/2015 del 14 dicembre 2017 ad essere oggetto di disamina.</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6.1</w:t>
      </w:r>
    </w:p>
    <w:p>
      <w:r>
        <w:t>Poste le debite premesse, occorre ora valutare se i timori dei ricorrenti quanto al rischio di subire atti pregiudizievoli a causa della loro conversione al cristianesimo siano o meno fondati.</w:t>
      </w:r>
    </w:p>
    <w:p>
      <w:r>
        <w:rPr>
          <w:b/>
        </w:rPr>
        <w:t>E. 6.2</w:t>
      </w:r>
    </w:p>
    <w:p>
      <w:r>
        <w:t>Si osserva che secondo le stesse allegazioni degli insorgenti ed i mezzi di prova allegati, detta circostanza si è prodotta antecedentemente alla sentenza del Tribunale del 14 dicembre 2017. Ciò nonostante, non risulta che gli interessati si siano avvalsi di detto motivo d'asilo nell'ambito della procedura ricorsuale ordinaria. È sì vero che parte dei mezzi di prova attestanti la professione della fede cristiana risulta successiva, ma è altrettanto innegabile che la stessa conferma per la gran parte un'evenienza già intervenuta in precedenza. Sia quel che sia, la questione non appare in specie decisiva, dal momento che, per i motivi che seguono, la conversione degli interessati non giustifica il riconoscimento dello statuto di rifugiato e la concessione dell'asilo.</w:t>
      </w:r>
    </w:p>
    <w:p>
      <w:r>
        <w:rPr>
          <w:b/>
        </w:rPr>
        <w:t>E. 6.3</w:t>
      </w:r>
    </w:p>
    <w:p>
      <w:r>
        <w:t>Secondo una consolidata prassi del Tribunale, di principio in Iran la sola conversione dall'islam al cristianesimo non conduce a una persecuzione dell'individuo in questione da parte dello Stato. Non di meno, il fatto di essere diventati cristiani nel contesto iraniano può essere causa di persecuzioni rilevanti ai fini del diritto all'asilo, se il convertito non rispetta la posizione di assoluto potere della religione islamica, di modo che la conversione verrebbe percepita come un attacco allo Stato dal regime teocratico al potere. Ciò è il caso se in Svizzera la fede è praticata in maniera attiva e osservabile dall'esterno (con intenzioni perfino evangelizzanti) e se, nel singolo caso, si può presumere che in patria le autorità siano venute a conoscenza di tale maniera di esercitare la propria fede. In caso di conversione all'estero, nel singolo caso deve quindi essere esaminato, oltre alla verosimiglianza della conversione, anche il grado di esposizione pubblica delle persone toccate (cfr. sentenze della CorteEDU A. contro Svizzera del 19 dicembre 2017, 60342/16, n. 26-31; F.G. contro Svezia del 23 marzo 2016, 43611/11; DTAF 2009/28 consid. 7.3.5 e sentenza del Tribunale D-4795/2016 del 15 marzo 2019 consid. 6.2.1 e 6.2.5).</w:t>
      </w:r>
    </w:p>
    <w:p>
      <w:r>
        <w:rPr>
          <w:b/>
        </w:rPr>
        <w:t>E. 6.4</w:t>
      </w:r>
    </w:p>
    <w:p>
      <w:r>
        <w:t>Nella fattispecie la verosimiglianza della conversione degli insorgenti non è messa in dubbio, per cui si pone la questione di sapere se essi, in caso di ritorno in patria, sarebbero esposti a una persecuzione da parte delle autorità iraniane a causa della loro maniera attiva e visibile dall'esterno di professare la religione. I ricorrenti appartengono alla comunità evangelica di G._______, seguono le funzioni religiose e partecipano agli incontri di volta in volta proposti ai membri di questa comunità; il tutto avviene, però, sempre all'interno della comunità stessa. Paradigmatico di ciò è il fatto che del loro battesimo sia stata data notizia dal periodico "(...)". Pur ammettendo che tale rivista possa varcare i confini cantonali, essa si indirizza ai membri delle altre comunità evangeliche della Svizzera piuttosto che ai membri di altre religioni (cfr. dichiarazione del pastore I._______, contenuta nella busta "mezzi di prova" [atto C2]). Parimenti, dal fatto che i ricorrenti hanno preso parte alla giornata organizzata dalla (...) si può dedurre unicamente che essi hanno una vita attiva nella comunità evangelica (cfr. documentazione contenuta nella busta "mezzi di prova" [atto C2]). L'esposizione pubblica della fede o un'attività di diffusione della stessa non sono, invece, ravvisabili. La sola partecipazione dei ricorrenti a una manifestazione a Berna in favore di cristiani perseguitati in Iran (cfr. fotografie contenute nella busta "mezzi di prova" [atto C2]) non è in grado di modificare questo giudizio. Altri elementi che permettano di ritenere che le autorità iraniane siano giunte a conoscenza della conversione degli insorgenti non si evincono dagli atti all'inserto. Infine, gli interessati non hanno allegato né dagli atti emerge che sarebbero ricercati dalle autorità della Repubblica Islamica dell'Iran. Quindi, è escluso che i ricorrenti abbiano un grado di esposizione pubblica tale da doversi ammettere che le autorità iraniane percepiscano la loro conversione quale attività antistatale. Sebbene non direttamente attinente all'oggetto dell'impugnativa, vi è poi da segnalare che il figlio degli insorgenti, C._______, risulta aver fatto recentemente ritorno in Iran, allorché egli stesso faceva poc'anzi valere il timore di subire delle persecuzioni per via della conversione dei genitori; pur ammettendo che non si tratta di un aspetto direttamente riconducile alle loro persone, è evidente che anche tale evento non depone a favore della tesi degli insorgenti.</w:t>
      </w:r>
    </w:p>
    <w:p>
      <w:r>
        <w:rPr>
          <w:b/>
        </w:rPr>
        <w:t>E. 6.5</w:t>
      </w:r>
    </w:p>
    <w:p>
      <w:r>
        <w:t>In conclusione, visto quanto precede, va negato che la conversione al cristianesimo dei ricorrenti configuri un rischio di subire persecuzioni in caso di rientro in patria.</w:t>
      </w:r>
    </w:p>
    <w:p>
      <w:r>
        <w:rPr>
          <w:b/>
        </w:rPr>
        <w:t>E. 7</w:t>
      </w:r>
    </w:p>
    <w:p>
      <w:r>
        <w:t>In virtù di quanto sopra esposto la SEM ha a giusto titolo negato la qualità di rifugiato ai ricorrenti, per il che il ricorso in materia di riconoscimento della qualità di rifugiato e di concessione dell'asilo, destituito di fondamento,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 quel che riguarda la presenza in Svizzera dei figli J._______ e K._______, vi è luogo di rinviare alle considerazioni esposte qui di seguito (cfr. infra consid. 10.1), secondo le quali gli interessati non hanno reso verosimile avere un rapporto di dipendenza particolare con loro. Pertanto, anche la pronuncia dell'allontanamento va confermata.</w:t>
      </w:r>
    </w:p>
    <w:p>
      <w:r>
        <w:rPr>
          <w:b/>
        </w:rPr>
        <w:t>E. 9.1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9.2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gli insorgenti non sono riusciti a dimostrare l'esistenza di seri pregiudizi o il fondato timore di essere esposti a tali pregiudizi ai sensi dell'art. 3 LAsi, il principio del divieto di respingimento non trova applicazione nella fattispecie ed il loro rinvio verso l'Iran è dunque ammissibile sotto l'aspetto dell'art. 5 cpv. 1 LAsi e dell'art. 33 della Convenzione sullo statuto dei rifugiati del 28 luglio 1952 (Conv. rifugiati, RS 0.142.30). Inoltre il Tribunale ha già avuto modo di stabilire che, per quanto riguarda il rispetto dei diritti umani, attualmente l'esecuzione dell'allontanamento in Iran non risulta essere in generale inammissibile (cfr. sentenza del Tribunale E-5026/2019 del 25 novembre 2019 consid. 8.3). Non vi è nemmeno motivo di considerare l'esistenza di un rischio personale, concreto e serio per gli insorgenti di essere esposti, nel loro Paese d'origine, ad un trattamento proibito ai sensi dell'art. 3 CEDU o dell'art. 3 Conv. tortura. Per quanto attiene ai menzionati fattori di rischio nella fattispecie, nell'ambito di una valutazione d'insieme, secondo il Tribunale non vi è da ritenere, nonostante i ricorrenti abbiano chiesto asilo all'estero, che la so-glia per ammettere un «real risk» sia raggiunta. A tal proposito va rilevato che, alla luce delle sentenze della CorteEDU A. contro Svizzera del 19 dicembre 2017, 60342/16, n. 26-31 e F.G. contro Svezia del 23 marzo 2016, 43611/11 e per gli stessi motivi di cui sopra, non vi è il timore che le autorità iraniane espongano gli insorgenti a seri pregiudizi (cfr. supra consid. 6.5). È ora d'uopo determinare se, come ritenuto dagli insorgenti in sede ricorsuale, l'esecuzione dell'allontanamento sia compatibile con l'art. 8 CEDU. Seppure questo articolo,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L'art. 8 CEDU tutela innanzitutto la famiglia detta nucleare o "Kernfamilie", ovvero le relazioni tra coniugi come pure tra genitori e figli minorenni che coabitano (cfr. DTF 137 I 113 consid. 6.1; DTAF 2008/47 consid. 4.1). Inoltre, possono anche beneficiare della protezione dell'art. 8 CEDU i rapporti familiari o di parentela che potrebbero rivestire un ruolo importante in seno alla famiglia, ad esempio tra nonni e abiatici, zii e nipoti, tra fratelli nonché tra un genitore residente in Svizzera e il figlio già maggiorenne. Ad ogni modo, in questi rapporti famigliari estesi, l'appello al principio dell'unità della famiglia presuppone - oltre ad una relazione stretta, effettiva ed intatta - un rapporto di dipendenza particolare nei confronti della persona stabilita in Svizzera, per esempio in ragione di un handicap (fisico o mentale) o di una malattia grave per la quale sarebbe necessaria un'assistenza permanente (cfr. tra le altre: sentenza del TF 2C_729/2014 del 22 giugno 2015 consid. 3.6; DTF 139 II 393 consid. 5.1; 135 I 143 consid. 3.1; 129 II 11 consid. 2; 120 Ib 257 consid. 1d; DTAF 2009/8 consid. 5.3.2 e 8.5; 2008/47 consid. 4.1.1 e relativi riferimenti; 2007/45 consid. 5.3). Orbene, nella fattispecie va rilevato che i figli dei ricorrenti presenti in Svizzera non rientrano più nella nozione di famiglia nucleare, poiché maggiorenni. Pertanto, soltanto un rapporto di dipendenza particolare nei confronti degli stessi permetterebbe di ritenere una violazione del principio dell'unità della famiglia. Tuttavia, dalle allegazioni degli interessati non risulta un rapporto di dipendenza particolare, invero dagli atti all'incarto non emerge che l'aiuto dei figli sia indispensabile. Gli insorgenti non hanno infatti handicap né malattie gravi. Non si trovano dunque in un rapporto di dipendenza particolare nei confronti dei figli presenti in Svizzera ai sensi della giurisprudenza precitata relativa all'art. 8 CEDU.</w:t>
      </w:r>
    </w:p>
    <w:p>
      <w:r>
        <w:rPr>
          <w:b/>
        </w:rPr>
        <w:t>E. 10.2</w:t>
      </w:r>
    </w:p>
    <w:p>
      <w:r>
        <w:t>Pertanto, come rettamente ritenuto nella decisione litigiosa, l'esecuzione dell'allontanamento è ammissibile ai sensi delle norme di diritto pubblico internazionale nonché della LAsi.</w:t>
      </w:r>
    </w:p>
    <w:p>
      <w:r>
        <w:rPr>
          <w:b/>
        </w:rPr>
        <w:t>E. 11.1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gli in-sorgenti concludono a giusta ragione o meno al carattere inesigibile dell'esecuzione dell'allontanamento, tenuto conto della situazione generale vigente attualmente in Iran, da un lato, e della loro situazione personale, dall'altro.</w:t>
      </w:r>
    </w:p>
    <w:p>
      <w:r>
        <w:rPr>
          <w:b/>
        </w:rPr>
        <w:t>E. 11.2</w:t>
      </w:r>
    </w:p>
    <w:p>
      <w:r>
        <w:t>Nella fattispecie, in varie città dell'Iran attualmente vi sono delle proteste di piazza contro il regime al governo ma non vige una situazione di guerra, guerra civile o violenza generalizzata che coinvolga l'insieme della popolazione nella totalità del territorio nazionale (cfr. sentenza del Tribunale D-5473/2019 del 25 novembre 2019 consid. 5.2.1). Quanto alla situazione personale dei ricorrenti, il signor A._______ è pensionato e la signora B._______ prima dell'espatrio aveva uno studio di cosmetica. Con la rendita di vecchiaia che riceveva il signor A._______ e le entrate dello studio di cosmetica della signora B._______ gli insorgenti mantenevano la famiglia e sono riusciti ad accantonare il denaro sufficiente per finanziare il viaggio in Svizzera. Una volta tornati in patria, quindi, i ricorrenti potranno riprendere la vita che conducevano prima dell'espatrio. La loro situazione personale, conseguentemente, permette di concludere al carattere esigibile dell'esecuzione dell'allontanamento. Infine, i ricorrenti hanno preteso nel gravame di soffrire di gravi problemi di salute tali da giustificare un'ammissione provvisoria. Da un esame degli atti di causa non emerge, però, la necessità di una loro permanenza in Svizzera per motivi medici (cfr. DTAF 2009/2 consid. 9.3.2 e relativi riferimenti; DTAF 2011/50 consid. 8.1-8.3). Sebbene la signora B._______ per curare i propri problemi di salute debba assumere antistaminici e Tirosint, non le sono necessari ulteriori trattamenti (cfr. relazioni cliniche del L._______ e del M._______, contenute nella busta "mezzi di prova" [atto C2]). Anche il signor A._______ deve assumere psicofarmaci e inoltre essere preso a carico regolarmente (cfr. certificato medico del N._______, contenuto nella busta "mezzi di prova" [atto C2]). In Iran però attualmente non vi è un'acuta carenza di medicinali (cfr. Human Rights Watch, "Maximum Pressure" - US Economic Sanctions Harm Iranians' Right to Health, 01.10.2019, &lt; https://www.hrw.org/sites/default/files/report_pdf/iran1019sanctions_web.pdf , consultato il 10 novembre 2020, pag. 31) e vi sono sia psichiatri che cliniche psichiatriche (cfr. World Health Organization - Regional Office for the Eastern Mediterranean, Islamic Republic of Iran health profile 2015, 2016, http://applications.emro.who.int/dsaf/EMROPUB_2016_EN_19265.pdf?ua=1 &gt;, consultato il 10 novembre 2020, pag. 23).</w:t>
      </w:r>
    </w:p>
    <w:p>
      <w:r>
        <w:rPr>
          <w:b/>
        </w:rPr>
        <w:t>E. 11.3</w:t>
      </w:r>
    </w:p>
    <w:p>
      <w:r>
        <w:t>In considerazione di quanto precede, l'esecuzione dell'allontanamento è ragionevolmente esigibile nella fattispecie (art. 83 cpv. 4 LStrI).</w:t>
      </w:r>
    </w:p>
    <w:p>
      <w:r>
        <w:rPr>
          <w:b/>
        </w:rPr>
        <w:t>E. 12</w:t>
      </w:r>
    </w:p>
    <w:p>
      <w:r>
        <w:t>In ultima analisi, non risultano impedimenti neppure dal profilo della possibilità dell'esecuzione dell'allontanamento (art. 44 LAsi ed art. 83 cpv. 2 LStrI). I ricorrenti dispongono infatti delle loro carte d'identità originali, emesse dal loro Paese d'origine e tutt'ora valide. Usando della necessaria diligenza, potranno procurarsi ogni ulteriore documento indispensabile al rimpatrio (cfr. art. 8 cpv. 4 LAsi e DTAF 2008/34 consid. 12). L'esecuzione dell'allontanamento è dunque pure possibile.</w:t>
      </w:r>
    </w:p>
    <w:p>
      <w:r>
        <w:rPr>
          <w:b/>
        </w:rPr>
        <w:t>E. 13</w:t>
      </w:r>
    </w:p>
    <w:p>
      <w:r>
        <w:t>Di conseguenza, anche in materia di esecuzione dell'allontanamento la decisione dell'autorità inferiore va confermata.</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15</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di CHF 750.- versato il 18 luglio 2018.</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