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D-3694/2021 vom 9. September 2021</w:t>
      </w:r>
    </w:p>
    <w:p>
      <w:r>
        <w:t>Bundesverwaltungsgericht, 2021-09-09, DE</w:t>
      </w:r>
    </w:p>
    <w:p>
      <w:r>
        <w:rPr>
          <w:b/>
        </w:rPr>
        <w:t xml:space="preserve">Quelle: </w:t>
      </w:r>
      <w:r>
        <w:t>https://mcp.opencaselaw.ch/entscheid/bvger_D-3694_2021</w:t>
      </w:r>
    </w:p>
    <w:p>
      <w:r>
        <w:t>FR: TAF D-3694/2021 du 9 septembre 2021</w:t>
      </w:r>
    </w:p>
    <w:p>
      <w:r>
        <w:t>IT: TAF D-3694/2021 del 9 settembre 2021</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Antragsgemäss werden die Beschwerdeverfahren D-3694/2021 (betreffend die Beschwerdeführerin) und D-3691/2021 (betreffend F._______ und die gemeinsame Tochter sowie die beiden Kinder von F._______) zeitlich koordiniert geführt.</w:t>
      </w:r>
    </w:p>
    <w:p>
      <w:r>
        <w:rPr>
          <w:b/>
        </w:rPr>
        <w:t>E. 5.1</w:t>
      </w:r>
    </w:p>
    <w:p>
      <w:r>
        <w:t>Das SEM führte zur Begründung seines Entscheids im Wesentlichen aus, Nordmazedonien sei ein «safe country» im Sinne von Art. 6a Abs. 2 Bst. a AsylG. Daher sei vermutungsweise davon auszugehen, dass die Behörden den von nichtstaatlicher Verfolgung betroffenen Personen Schutz gewährten. Der Beschwerdeführerin sei es nicht gelungen, diese Regelvermutung umzustossen. Die nordmazedonischen Polizeibehörden seien als grundsätzlich schutzfähig und -willig zu erachten, zudem bestehe gegebenenfalls die Möglichkeit, auf dem Rechtsweg gegen allfällige fehlbare Beamten oder Behördenwillkür vorzugehen. Die Beschwerdeführerin habe dies nicht gemacht, obwohl in Nordmazedonien kostenlose Rechtsbeistände für vulnerable Personen existierten und es ihr zuzumuten gewesen wäre, sich entsprechend zu informieren. Es gebe in Nordmazedonien überdies auch Schutzeinrichtungen für Opfer familiärer Gewalt. Falls die Beschwerdeführerin bei einer Rückkehr ins Heimatland erneut einer Bedrohung durch Drittpersonen ausgesetzt wäre, sei es ihr möglich und zumutbar, die genannten Hilfsangebote in Anspruch zu nehmen und die heimatlichen Behörden um Schutz zu ersuchen. Die Vorbringen betreffend häusliche Gewalt seien daher nicht asylrelevant. Die übrigen Vorbringen (Diskriminierung als Roma und Christin, wirtschaftliche Benachteiligung, Probleme mit D._______ in Deutschland) seien ebenfalls nicht asylrelevant. Demnach erfülle die Beschwerdeführerin die Flüchtlingseigenschaft nicht, und das Asylgesuch sei abzulehnen. Den Vollzug der Wegweisung erachtete das SEM als zulässig, zumutbar und möglich. Betreffend die Frage der Zumutbarkeit des Vollzugs erwog das SEM, der Vollzug der Wegweisung nach Nordmazedonien sei vermutungsweise zumutbar, und es sei der Beschwerdeführerin nicht gelungen, diese Vermutung zu widerlegen. In Nordmazedonien bestehe insbesondere die Möglichkeit, staatliche Sozialhilfe zu beziehen, ferner würden sich Nichtregierungsorganisationen im sozialen Bereich engagieren. Das SEM verwies an dieser Stelle ausserdem auf die bestehenden Hilfsangebote für Opfer häuslicher Gewalt und stellte abschliessend fest, die psychischen Probleme der Beschwerdeführerin könnten auch in Nordmazedonien in zureichender Weise behandelt werden.</w:t>
      </w:r>
    </w:p>
    <w:p>
      <w:r>
        <w:rPr>
          <w:b/>
        </w:rPr>
        <w:t>E. 5.2</w:t>
      </w:r>
    </w:p>
    <w:p>
      <w:r>
        <w:t>In der Beschwerde wird vorgebracht, die Beschwerdeführerin leide aufgrund der Gewalterlebnisse im Heimatland an einer (...) und benötige eine medikamentöse und psychotherapeutische Behandlung. Sie und ihre Töchter befänden sich nach wie vor in Gefahr. Das SEM wäre verpflichtet gewesen, hinsichtlich der Vorbringen und Handlungsmöglichkeiten der Beschwerdeführerin weitere Abklärungen zu treffen und konkrete Angaben zu Anwälten und Hilfsorganisationen sowie zu den gesetzlichen Grundlagen, auf welche sich der angebliche Anspruch auf unentgeltliche Rechtsverbeiständung im Heimatland stütze, zu machen. Dadurch, dass es dies unterlassen habe, habe es die Untersuchungspflicht sowie die Begründungspflicht und damit den Anspruch auf rechtliches Gehör verletzt. Die Beschwerdeführerin habe sich an die Polizei gewandt, aber diese sei ihrer Schutzpflicht nicht nachgekommen. Es könne von der Beschwerdeführerin nicht verlangt werden, die Polizei zu verklagen und gegen den Staat vorzugehen, zumal in ihrem Fall davon auszugehen sei, dass auch Beamte zum Täterkreis gehören würden. Entgegen der Annahme des SEM sei es der Beschwerdeführerin ferner nicht möglich gewesen, sich an einem anderen Ort in Mazedonien niederzulassen; ohnehin wäre sie im kleinräumigen Mazedonien nirgends in Sicherheit gewesen; denn D._______ habe sie ja sogar in (...) aufgespürt. Das SEM wäre weiter verpflichtet gewesen, Abklärungen zur Person von D._______ und den Personen, mit welchen er zusammenarbeite, zu treffen, um herauszufinden, ob es sich dabei allenfalls um bekannte Persönlichkeiten, Behördenvertreter oder ähnliches handle. Aus den Erwägungen des SEM gehe ferner nicht hervor, wie die mazedonischen Behörden verhindern könnten, dass D._______ das Kind G._______ umbringe. Auch habe das SEM keine weiteren Abklärungen betreffend die von der Beschwerdeführerin erlittene häusliche Gewalt durch D._______ und das Bestehen von konkrete Schutzinfrastrukturen getätigt. Es habe nicht versucht festzustellen, wo sich die Tochter E._______ befinde, und sei den Vorbringen betreffend Gewaltakte durch F._______ und eine Gefährdung der Kinder ungenügend nachgegangen. Die Auffassung des SEM, der nordmazedonische Staat sei schutzfähig, sei praxisfremd. Die vorhandene Schutzinfrastruktur (wie beispielsweise Frauenhäuser) sei unterentwickelt und unterfinanziert, und insbesondere Roma-Frauen würden keine oder nicht ausreichende Unterstützung erhalten Es fehle an einer adäquaten Gesetzgebung, ausreichenden Schutzgarantien und Ressourcen sowie an einer Strategie zur Verhinderung geschlechtsspezifischer Gewalt (Verweis auf mehrere einschlägige Berichte und Studien aus den Jahren 2017 und 2018). Insbesondere armutsbetroffene Frauen mit geringem Bildungsstand hätten kaum Zugang zu wirksamem Schutz, unentgeltlicher Rechtshilfe und medizinischer Hilfe; diese Situation treffe auch auf die Beschwerdeführerin zu. Die Rückkehr nach Nordmazedonien, den Ort der Verfolgung, sei für die Beschwerdeführerin nicht zumutbar. Im Falle der Rückkehr müsse mit einer Retraumatisierung, Todesangst und Suizidalität gerechnet werden.</w:t>
      </w:r>
    </w:p>
    <w:p>
      <w:r>
        <w:rPr>
          <w:b/>
        </w:rPr>
        <w:t>E. 6</w:t>
      </w:r>
    </w:p>
    <w:p>
      <w:r>
        <w:t>Vorab sind die in der Beschwerde erhobenen formellen Rügen (Verletzung der Untersuchungs- und Begründungspflicht) zu prüfen. Entgegen den Vorbringen der Beschwerdeführerin sind die Angaben des SEM zu vorhandenen Schutzeinrichtungen und Hilfsangeboten in der angefochtenen Verfügung ausreichend konkret ausgefallen; das SEM hat dabei namentlich das Macedonian Women's Rights Centre (inkl. Adresse, Telefonnummer und E-Mail-Adresse) erwähnt - wenn auch nicht in den Erwägungen betreffend den Asylpunkt, sondern in denjenigen betreffend die Zumutbarkeit des Vollzugs der Wegweisung - und daneben für weitergehende, konkrete Angaben auf einen Bericht der Schweizerischen Flüchtlingshilfe vom Juli 2016 sowie ein Urteil des Bundesverwaltungsgerichts vom Juli 2020 verwiesen (vgl. Ziff. 2.2 der vorinstanzlichen Verfügung). Da das SEM die nordmazedonischen Behörden als grundsätzlich schutzfähig und -willig erachtete, bestand ferner keine Veranlassung, weitere Abklärungen zur erlittenen häuslichen Gewalt oder zu D._______ vorzunehmen, da dies an der erwähnten Schlussfolgerung nichts geändert hätte. Im Weiteren ist nicht ersichtlich, inwiefern der Aufenthalt der Tochter E._______ relevant ist für die Beurteilung des Asylgesuchs der Beschwerdeführerin; es ist daher nicht zu beanstanden, dass das SEM dazu keine Abklärungen vorgenommen hat. Schliesslich führte die Beschwerdeführerin selber aus, die Beziehung zu F._______ sei aktuell gut (vgl. A39 F133), weshalb das SEM auch in diesem Punkt auf weitere Abklärungen verzichten konnte. Soweit die Beschwerdeführerin rügt, das SEM habe sich nicht zur Frage der Gefährdung der Kinder respektive des Kindeswohls geäussert, ist schliesslich festzustellen, dass sich die vorliegend zu überprüfende Verfügung nicht auf die Kinder der Beschwerdeführerin und ihres Partners bezieht, sondern lediglich auf die Beschwerdeführerin; das SEM hat darin daher zu Recht auf entsprechende Ausführungen verzichtet. Nach dem Gesagten ist festzustellen, dass die Vorinstanz ihrer Pflicht, den rechtserheblichen Sachverhalt von Amtes wegen festzustellen (vgl. Art. 6 AsylG i.V.m. Art. 12 VwVG) in rechtsgenüglicher Weise nachgekommen ist. Eine Verletzung der Begründungspflicht respektive des Anspruchs auf rechtliches Gehör (vgl. Art. 29 Abs. 2 BV, Art. 29 VwVG, Art. 35 Abs. 1 VwVG) kann sodann ebenfalls nicht festgestellt werden. Das SEM hat in nachvollziehbarer Weise sowie hinreichend einlässlich dargelegt, weshalb es die Flüchtlingseigenschaft als nicht erfüllt und den Vollzug der Wegweisung als durchführbar erachtet, und es war der Beschwerdeführerin offensichtlich auch ohne weiteres möglich, den Entscheid sachgerecht anzufechten. Die formellen Rügen erweisen sich damit als unbegründet, und das (eventuelle) Kassationsbegehren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Wie bereits das SEM zutreffend ausgeführt hat, hat der Bundesrat Nordmazedonien (früher: Mazedonien) mit Beschluss vom 1. August 2003 als verfolgungssicheren Staat (safe country) im Sinne von Art. 6a Abs. 2 Bst. a AsylG bezeichnet. Demzufolge besteht die gesetzliche Regelvermutung, dass in Nordmazedonien keine asylrelevante staatliche Verfolgung existiert und der Schutz vor nichtstaatlicher Verfolgung gewährleistet ist. Diese Vermutung kann im Einzelfall durch konkrete und substanziierte gegenteilige Hinweise widerlegt werden.</w:t>
      </w:r>
    </w:p>
    <w:p>
      <w:r>
        <w:rPr>
          <w:b/>
        </w:rPr>
        <w:t>E. 8.2.1</w:t>
      </w:r>
    </w:p>
    <w:p>
      <w:r>
        <w:t>In der Beschwerde wird zu Recht darauf hingewiesen, dass häusliche Gewalt, namentlich an Frauen, in Nordmazedonien ein weit verbreitetes Problem ist. Nordmazedonien hat jedoch in den letzten Jahren grosse Anstrengungen unternommen, um Gewaltdelikte zu verhindern und Gewaltopfern Schutz, Hilfe und Beratung zu bieten. Im Jahr 2008 wurde eine Nationale Strategie zum Schutz vor häuslicher Gewalt ausgearbeitet und im Herbst 2014 ein Gesetz zu häuslicher Gewalt erlassen. Nachdem Nordmazedonien im Dezember 2017 das Übereinkommen des Europarats zur Verhütung und Bekämpfung von Gewalt gegen Frauen und häuslicher Gewalt vom 11. Mai 2011 (Istanbul-Konvention) ratifiziert hatte, verabschiedete das Land einen diesbezüglichen Aktionsplan für die Jahre 2018-2023 sowie mehrere neue Gesetze, darunter das Gesetz betreffend die unentgeltliche Rechtspflege (in Kraft seit Oktober 2019) sowie ein neues Gesetz zur Verhütung und Bekämpfung von Gewalt gegen Frauen und häuslicher Gewalt, welches im Januar 2021 in Kraft getreten ist und internationalen Standards entspricht. In diesem Gesetz wird insbesondere auch die Reintegration von gewaltbetroffenen Frauen geregelt, wobei als Instrumente namentlich psychologische und finanzielle Unterstützung, temporäre Unterbringung sowie Ausbildungs- und Arbeitsmarktmassnahmen vorgesehen sind. Im Zusammenhang mit der Ratifizierung der Istanbul-Konvention eröffnete die Regierung zudem mehrere Anlaufstellen für Opfer sexueller Gewalt in öffentlichen Spitälern, welche den Betroffenen Sicherheit, psychologische Unterstützung und Rechtsberatung bieten. Daneben wurden für Mitarbeitende im Gesundheitswesen und in den sozialen Diensten Weiterbildungskurse im Bereich häusliche und geschlechtsspezifische Gewalt durchgeführt. Inzwischen gibt es in Nordmazedonien mehrere Schutzeinrichtungen und (Rechts-)Beratungsstellen für Opfer von häuslicher und geschlechtsspezifischer Gewalt, namentlich in Skopje, Kumanovo und Tetovo, welche kostenlose, spezialisierte psychosoziale Beratung und Unterstützung für Opfer von häuslicher und geschlechtsspezifischer Gewalt anbieten. Zudem existieren drei nationale SOS-Nummern sowie eine App namens «BeSafe», welche den Zugang zu relevanten Informationen und das Melden von Gewaltvorfällen erleichtern. Eine einlässliche Liste von entsprechenden Angeboten findet sich beispielsweise im Dokument «Baseline research: existing rehabilitation and integration services provided at the local level in the Republic of North Macedonia, März 2020, S. 12 ff. (vgl. http://www.glasprotivnasilstvo.org.mk/wp-content/uploads/2021/01/Baseline-research-design-eng-1.pdf; vgl. zum Ganzen den Aufsatz «Women's Safety and Gender-Based Violence in the Republic of North Macedonia, in: Front Public Health, online publiziert am 21. Februar 2020, https://www.ncbi.nlm.nih.gov/pmc/articles/PMC7047429/; Mitteilung der UN Women Europe and Central Asia: Ending Violence against Women, https://eca.unwomen.org/en/where-we-are/north-macedonia/ending-violence-against-women; National Network to End Violence Against Women and Domestic Violence, What is next!? Following the adoption of the Law on prevention and protection from violence against women and domestic violence, November 2020, http://www.glasprotivnasilstvo.org.mk/wp-content/uploads/2021/03/Policy-brief-Reintegration-of-women-victims-of-violence_WEB.pdf; National Network to End Violence Against Women and Domestic Violence, Baseline Research: existing rehabilitation and integration services provided at the local level in the Republic of North Macedonia, März 2020, http://www.glasprotivnasilstvo.org.mk/wp-content/uploads/2021/01/Baseline-research-design-eng-1.pdf; alle zuletzt besucht am 31. August 2021).</w:t>
      </w:r>
    </w:p>
    <w:p>
      <w:r>
        <w:rPr>
          <w:b/>
        </w:rPr>
        <w:t>E. 8.2.2</w:t>
      </w:r>
    </w:p>
    <w:p>
      <w:r>
        <w:t>Auch wenn die bestehenden Gesetze durch Polizeibeamte, Sozialarbeiterinnen und Sozialarbeiter sowie Mitarbeitende an Gerichten teilweise nach wie vor nur ungenügend umgesetzt werden und die vorhandenen Angebote noch nicht genügen, um den hohen effektiven Schutzbedarf zu decken, so ist nach dem Gesagten der grundsätzliche Schutzwille und die weitgehende Schutzfähigkeit des nordmazedonischen Staates in Bezug auf Opfer von geschlechtsspezifischer Gewalt dennoch zu bejahen, zumal zu berücksichtigen ist, dass es keinem Staat gelingen kann, die absolute Sicherheit seiner Bürgerinnen und Bürger jederzeit und überall zu garantieren. Ferner lässt auch das Vorbringen der Beschwerdeführerin, ihre zweifachen Anzeigen bei der lokalen Polizei seien vom zuständigen Beamten, einem Bekannten von D._______, ignoriert worden (vgl. A39 F96 f.), und mutmasslich hätten auch Beamte zum Kreis der Täter gehört (vgl. Beschwerde S. 6 oben), nicht auf einen generell fehlenden Schutzwillen des Heimatstaates schliessen. Demnach wäre es der Beschwerdeführerin ohne weiteres zumutbar und möglich gewesen, sich spätestens nach der Rückkehr aus (...) im (...), als sie sich offenbar über zwei Monate lang unbehelligt bei Verwandten ihres Partners in H._______ aufgehalten hat, mit Nachdruck an die zuständigen (respektive im Falle deren Untätigkeit an die diesen übergeordneten) Behörden zu wenden und gegebenenfalls die erwähnten Angebote der in H._______ oder C._______ vorhandenen kostenlosen Beratungsstellen und Schutzeinrichtungen in Anspruch zu nehmen. Ein solches Vorgehen ist ihr auch zuzumuten für den Fall, dass sie bei einer Rückkehr nach Nordmazedonien erneut von D._______ oder anderen Personen bedroht oder misshandelt werden sollte. Demnach ist davon auszugehen, dass die Beschwerdeführerin im Heimatland ausreichenden Schutz vor häuslicher und /oder geschlechtsspezifischer Verfolgung finden kann. Es ist ihr damit nicht gelungen, die vorstehend in E. 8.1 dargelegte Regelvermutung zu widerlegen.</w:t>
      </w:r>
    </w:p>
    <w:p>
      <w:r>
        <w:rPr>
          <w:b/>
        </w:rPr>
        <w:t>E. 8.3</w:t>
      </w:r>
    </w:p>
    <w:p>
      <w:r>
        <w:t>Soweit die Beschwerdeführerin geltend macht, sie werde in Nordmazedonien aufgrund ihrer Ethnie und ihres Glaubens diskriminiert, wobei ihr insbesondere Sozialhilfe und medizinische Versorgung vorenthalten worden sei, ist festzustellen, dass diese Nachteile ungeachtet der Frage ihrer Glaubhaftigkeit mangels genügender Intensität keine asylbeachtliche Verfolgung darstellen.</w:t>
      </w:r>
    </w:p>
    <w:p>
      <w:r>
        <w:rPr>
          <w:b/>
        </w:rPr>
        <w:t>E. 8.4</w:t>
      </w:r>
    </w:p>
    <w:p>
      <w:r>
        <w:t>Nach dem Gesagten ist die Flüchtlingseigenschaft der Beschwerdeführerin zu verneinen. Das SEM hat ihr Asylgesuch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 wie die vorstehenden Erwägungen zeigen - nicht gelungen. Auch die allgemeine Menschenrechtssituation in Nordmazedonien lässt den Wegweisungsvollzug nicht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Bundesrat hat Nordmazedonien als Heimat- oder Herkunftsstaat bezeichnet, in welchen der Vollzug der Wegweisung in der Regel zumutbar ist, da dort politische Stabilität herrscht und die medizinische Grundversorgung gewährleistet ist (vgl. Art. 83 Abs. 5 AIG i.V.m. Art. 18 der Verordnung vom 11. August 1999 über den Vollzug der Weg- und Ausweisung sowie der Landesverweisung von ausländischen Personen [VVWAL, SR 142.281] sowie deren Anhang 2). Auch diese Regelvermutung kann durch konkrete und substanziierte gegenteilige Hinweise widerlegt werden.</w:t>
      </w:r>
    </w:p>
    <w:p>
      <w:r>
        <w:rPr>
          <w:b/>
        </w:rPr>
        <w:t>E. 10.3.2</w:t>
      </w:r>
    </w:p>
    <w:p>
      <w:r>
        <w:t>In Nordmazedonien herrschen weder Bürgerkrieg noch eine Situation allgemeiner Gewalt. Den Akten sind auch keine konkreten Anhaltspunkte für das Vorliegen von individuellen Gründen zu entnehmen, welche die Vermutung der Zumutbarkeit des Wegweisungsvollzugs widerlegen könnten. Die Beschwerdeführerin kann mit ihrem Lebenspartner und der (gemeinsamen) Tochter sowie den Stiefkindern ins Heimatland zurückkehren, da deren Beschwerde mit datumsgleich ergangenem Urteil ebenfalls abgewiesen wurde (vgl. das Verfahren D-3691/2021). Sie ist bei einer Rückkehr somit nicht auf sich alleine gestellt und hat insbesondere die Möglichkeit, zumindest vorübergehend zusammen mit ihrem Partner bei dessen Verwandten in H._______ unterzukommen, wo sie sich bereits vor der Ausreise im (...) aufgehalten haben. Die Beschwerdeführerin verfügt zudem namentlich in C._______ über mehrere Verwandte (Vater und Geschwister, Onkel und Tanten, Grosseltern), welche ihr bei der Reintegration behilflich sein könnten. Im Weiteren ist es ihr bei Bedarf zuzumuten, sich beim lokal zuständigen Zentrum für Soziale Arbeit zu registrieren, um Sozialhilfe zu erhalten, oder sich an eine der in Nordmazedonien tätigen Nichtregierungsorganisationen zu wenden (vgl. dazu beispielsweise auch das Urteil des BVGer E-7115/2018 vom 29. Juli 2020 E. 8.4.2.1, m.w.H., sowie die Auflistung von einschlägigen Organisationen und Einrichtungen im Länderinformationsblatt der Internationalen Organisation für Migration [IOM] zur Republik Nordmazedonien, 2019, S. 13 f.). Die gesundheitlichen Probleme der Beschwerdeführerin - den Akten zufolge leidet sie an (...) - lassen den Vollzug der Wegweisung ebenfalls nicht als unzumutbar erscheinen. Wie bereits das SEM zutreffend ausgeführt hat, bestehen in der Heimatregion der Beschwerdeführerin adäquate Behandlungsangebote (vgl. dazu beispielsweise auch a.a.O., E. 8.4.2.2, m.w.H.). Eigenen Angaben zufolge hat die Beschwerdeführerin denn auch bereits in der Vergangenheit eine medizinische Behandlung ihrer psychischen Probleme in Anspruch genommen (vgl. A32 S. 2 sowie A39 F52 f.), was im Übrigen darauf schliessen lässt, dass sie dort krankenversichert ist. Sollte sie eine Behandlungslücke befürchten, so steht es ihr frei, bei der Vorinstanz einen Antrag auf medizinische Rückkehrhilfe zu stellen (vgl. Art. 93 Abs. 1 Bst. d AsylG i.V.m. Art. 75 der Asylverordnung 2 über Finanzierungsfragen (AsylV 2, SR 142.312). Demnach ist nicht davon auszugehen, dass eine Rückkehr der Beschwerdeführerin nach Nordmazedonien zu einer raschen und lebensgefährdenden Beeinträchtigung ihres Gesundheitszustands führen würde.</w:t>
      </w:r>
    </w:p>
    <w:p>
      <w:r>
        <w:rPr>
          <w:b/>
        </w:rPr>
        <w:t>E. 10.3.3</w:t>
      </w:r>
    </w:p>
    <w:p>
      <w:r>
        <w:t>Der Vollzug der Wegweisung erweist sich demnach als zumutbar.</w:t>
      </w:r>
    </w:p>
    <w:p>
      <w:r>
        <w:rPr>
          <w:b/>
        </w:rPr>
        <w:t>E. 10.4</w:t>
      </w:r>
    </w:p>
    <w:p>
      <w:r>
        <w:t>Der Vollzug der Wegweisung ist auch als möglich zu bezeichnen (Art. 83 Abs. 2 AuG), da die Beschwerdeführerin über einen bis am 6. Februar 2024 gültigen Reisepass verfügt (vgl. A21 Ziff. 4.01). Die aktuelle Corona-Pandemie steht dem Wegweisungsvollzug ebenfalls nicht entgegen; denn es handelt sich dabei - wenn überhaupt - um ein bloss temporäres Vollzugshindernis, welchem somit im Rahmen der Vollzugsmodalitäten durch die kantonalen Behörden Rechnung zu tragen ist.</w:t>
      </w:r>
    </w:p>
    <w:p>
      <w:r>
        <w:rPr>
          <w:b/>
        </w:rPr>
        <w:t>E. 10.5</w:t>
      </w:r>
    </w:p>
    <w:p>
      <w:r>
        <w:t>Zusammenfassend ist festzustellen, dass die Vorinstanz den Wegweisungsvollzug nach Nordmazedonien zu Recht als zulässig, zumutbar und möglich bezeichnet hat. Eine Anordnung der vorläufigen Aufnahme fällt damit ausser Betracht (Art. 83 Abs. 1 - 4 AIG).</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12.1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12.2</w:t>
      </w:r>
    </w:p>
    <w:p>
      <w:r>
        <w:t>Demzufolge sind die Verfahrenskosten in der Höhe von Fr. 750.- der Beschwerdeführerin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