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D-3690/2024 vom 17. Juni 2024</w:t>
      </w:r>
    </w:p>
    <w:p>
      <w:r>
        <w:t>Bundesverwaltungsgericht, 2024-06-17, DE</w:t>
      </w:r>
    </w:p>
    <w:p>
      <w:r>
        <w:rPr>
          <w:b/>
        </w:rPr>
        <w:t xml:space="preserve">Quelle: </w:t>
      </w:r>
      <w:r>
        <w:t>https://mcp.opencaselaw.ch/entscheid/bvger_D-3690_2024</w:t>
      </w:r>
    </w:p>
    <w:p>
      <w:r>
        <w:t>FR: TAF D-3690/2024 du 17 juin 2024</w:t>
      </w:r>
    </w:p>
    <w:p>
      <w:r>
        <w:t>IT: TAF D-3690/2024 del 17 giugno 2024</w:t>
      </w:r>
    </w:p>
    <w:p>
      <w:pPr>
        <w:pStyle w:val="Heading2"/>
      </w:pPr>
      <w:r>
        <w:t>Regeste</w:t>
      </w:r>
    </w:p>
    <w:p>
      <w:r>
        <w:t>Asyl und Wegweisung (beschleunigtes Verfahren)</w:t>
      </w:r>
    </w:p>
    <w:p>
      <w:pPr>
        <w:pStyle w:val="Heading2"/>
      </w:pPr>
      <w:r>
        <w:t>Erwägungen</w:t>
      </w:r>
    </w:p>
    <w:p>
      <w:r>
        <w:rPr>
          <w:b/>
        </w:rPr>
        <w:t>E. 11</w:t>
      </w:r>
    </w:p>
    <w:p>
      <w:r>
        <w:t>Juni 2024, E-2278/2024 vom 10. Mai 2024, E-2523/2024 vom 2. Mai 2024, D-6861/2023 vom 25. April 2024 E. 7.3, D-1725/2024 vom 23. April 2024, E-1049/2024 vom 8. April 2024 E. 7.3), dass die Beschwerdeführenden ihre pauschale Behauptung, sie hätten die heimatlichen Behörden erfolglos um Schutz ersucht (vgl. A25/14 F66), auch auf Beschwerdeebene nicht mit entsprechenden Belegen zu stützen vermögen, weshalb auch im konkreten Fall nichts auf einen fehlenden Schutzwillen beziehungsweise fehlende Schutzfähigkeit der türkischen Be- hörden hinweist,</w:t>
      </w:r>
    </w:p>
    <w:p>
      <w:r>
        <w:t>D-3690/2024 Seite 6 dass sich die Beschwerdeführenden somit an die Behörden, insbesondere, wie die Vorinstanz zu Recht ausführt, mit Hilfe eines Rechtsanwalts an die Staatsanwaltschaft hätten wenden und Schutz einfordern können, dass die diesbezüglichen Ausführungen in der Beschwerdeschrift, wonach ihnen die Mandatierung eines Rechtsanwaltes aus finanziellen Gründen nicht möglich gewesen sei (vgl. Beschwerde S. 6), unbehelflich sind, zumal zu erwarten gewesen wäre, dass sie sich diesbezüglich an ihre Verwand- ten wenden, denen es offensichtlich möglich war, die Ausreise der Be- schwerdeführenden zu finanzieren (vgl. A25/14 F43), dass es den Beschwerdeführenden folglich zuzumuten ist, den Schutz ih- res Heimatstaates vor nichtstaatlicher Verfolgung auszuschöpfen, und auf das Vorbringen, es sei keine innerstaatliche Schutzalternative verfügbar, nicht weiter einzugehen ist, dass es den Beschwerdeführenden somit nicht gelingt, die Flüchtlingsei- genschaft nachzuweisen oder zumindest glaubhaft zu machen, weshalb die Vorinstanz das Asylgesuch zu Recht abgelehnt hat, dass die Anordnung der Wegweisung aus der Schweiz im Einklang mit den gesetzlichen Bestimmungen steht und zu bestätigen ist, da die Beschwer- deführenden insbesondere weder über einen Aufenthaltstitel für die Schweiz noch über eine Anspruchsgrundlage auf Erteilung eines solchen verfügen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w:t>
      </w:r>
    </w:p>
    <w:p>
      <w:r>
        <w:t>D-3690/2024 Seite 7 flüchtlingsrechtlich relevante Verfolgung bestehen (Art. 5 Abs. 1 AsylG; Art. 33 Abs. 1 FK [SR 0.142.30]) und auch keine konkreten Anhaltspunkte für eine in der Heimat drohende menschenrechtswidrige Behandlung (im Sinne von Art. 3 EMRK) ersichtlich sind, dass gemäss konstanter Praxis des Bundesverwaltungsgerichts in der Tür- kei nicht von einer Situation allgemeiner Gewalt oder bürgerkriegsähnlichen Verhältnissen auszugehen ist (vgl. Urteil des BVGer D-7194/2023 vom 3. April 2024 E. 8.3.2.1 m.w.H.), dass die Beschwerdeführenden gemäss Aktenlage jung sowie gesund sind und im Heimatstaat über Wohneigentum sowie zahlreiche Verwandte ver- fügen (vgl. A25/14 F22, F36 und F39), dass die wiederholt unsubstantiierte Behauptung in der Beschwerdeschrift, obgleich ihre Verwandten im Heimatstaat (wie auch der Schweiz) bisher für den Lebensunterhalt der Beschwerdeführenden aufgekommen seien und sogar deren Ausreise finanziert hätten, vermöchten sie sie im Falle ihrer Rückkehr nicht finanziell zu unterstützen, nicht zu überzeugen ver- mag, dass auch angenommen werden kann, der Ehemann respektive Vater der Beschwerdeführenden, werde nach ihrer Rückkehr in die Türkei – wie be- reits in der Vergangenheit – für sie finanziell aufkommen (vgl. A25/14 F31), zumal das Gericht, angesichts dessen, dass die Beschwerdeführenden auch weiterhin den Kontakt zu ihm pflegen, erhebliche Zweifel an ihrer Be- hauptung hat, sie wüssten nicht, wo er sich aufhalte (vgl. A25/14 F9 ff.), dass die vier in der Türkei verbliebenen Kinder respektive Geschwister der Beschwerdeführenden sich seit ihrer Ausreise – demnach seit Oktober 2022 – in der Obhut ihrer Schwiegermutter respektive Grossmutter befin- den (vgl. A25/14 F92) und anzunehmen ist, auch die Beschwerdeführen- den könnten im Bedarfsfall in ihrem Haushalt unterkommen, dass denn auch das Wohl der sich seit gut eineinhalb Jahren in der Schweiz befindenden minderjährigen Beschwerdeführenden mit einer Rückkehr in die Türkei vereinbar ist, zumal sie den Akten nach gesund sind und gemeinsam mit der volljährigen Beschwerdeführerin, die offensichtlich ihre Hauptbezugsperson ist, in den Heimatstaat zu ihren vier Geschwistern (in ein ihnen vertrautes Umfeld) zurückkehren werden,</w:t>
      </w:r>
    </w:p>
    <w:p>
      <w:r>
        <w:t>D-3690/2024 Seite 8 dass der Vollständigkeit halber noch festzustellen ist, dass auch die Bezie- hung der Beschwerdeführenden zu ihren in der Schweiz lebenden Ver- wandten dem Vollzug der Wegweisung nicht entgegensteht und diesbe- züglich auf die zutreffenden Ausführungen in der angefochtenen Verfü- gung zu verweisen ist (vgl. A32/11 S. 9), dass sich der Vollzug der Wegweisung somit in allgemeiner wie auch in individueller Hinsicht als zumutbar erweist, dass es den Beschwerdeführenden obliegt, sich die für ihre Rückkehr al- lenfalls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das Gesuch um Gewährung der unentgeltlichen Prozessführung (im Sinne von Art. 65 Abs. 1 VwVG) abzuweisen ist, da sich die Beschwerde nach dem Gesagten als von Anfang an aussichtslos erwiesen hat, dass den Beschwerdeführenden demnach die Kosten des Verfahrens – welche praxisgemäss auf Fr. 750.– zu bestimmen sind – aufzuerlegen sind (Art. 63 Abs. 1 VwVG; Art. 1–3 des Reglements vom 21. Februar 2008 über die Kosten und Entschädigungen vor dem Bundesverwaltungsgericht [VGKE, SR 173.320.2]).</w:t>
      </w:r>
    </w:p>
    <w:p>
      <w:r>
        <w:t>(Dispositiv nächste Seite)</w:t>
      </w:r>
    </w:p>
    <w:p>
      <w:r>
        <w:t>D-3690/2024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