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D-3689/2014 vom 12. Dezember 2014</w:t>
      </w:r>
    </w:p>
    <w:p>
      <w:r>
        <w:t>Bundesverwaltungsgericht, 2014-12-12, DE</w:t>
      </w:r>
    </w:p>
    <w:p>
      <w:r>
        <w:rPr>
          <w:b/>
        </w:rPr>
        <w:t xml:space="preserve">Quelle: </w:t>
      </w:r>
      <w:r>
        <w:t>https://mcp.opencaselaw.ch/entscheid/bvger_D-3689_2014</w:t>
      </w:r>
    </w:p>
    <w:p>
      <w:r>
        <w:t>FR: TAF D-3689/2014 du 12 décembre 2014</w:t>
      </w:r>
    </w:p>
    <w:p>
      <w:r>
        <w:t>IT: TAF D-3689/2014 del 12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weshalb auf die frist- und formgerecht eingereichte Beschwerde einzutreten ist (Art. 105 und Art. 108 Abs. 1 AsylG, Art. 48 Abs. 1 sowie Art. 52 VwVG).</w:t>
      </w:r>
    </w:p>
    <w:p>
      <w:r>
        <w:rPr>
          <w:b/>
        </w:rPr>
        <w:t>E. 2</w:t>
      </w:r>
    </w:p>
    <w:p>
      <w:r>
        <w:t>Mit Beschwerde kann die Verletzung von Bundesrecht (einschliesslich Missbrauch und Überschreitung des Ermessens) sowie die unrichtige und unvollständige Feststellung des rechtserheblichen Sachverhaltes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4.1</w:t>
      </w:r>
    </w:p>
    <w:p>
      <w:r>
        <w:t>Das BFM hielt in seiner angefochtenen Verfügung vorab fest, Vorbringen seien dann nicht hinreichend begründet, wenn sie in wesentlichen Punkten zu wenig konkret, detailliert und differenziert dargelegt worden seien und somit den Eindruck vermittelten, die Person habe das Geschilderte nicht selbst erlebt. Wie das BFM im Weiteren zutreffend bemerkte, vermochte die Beschwerdeführerin keine klaren, widerspruchsfreien Angaben zum Datum ihres Beitritts zur EPPF oder zur Dauer ihrer Mitgliedschaft zu machen (vgl. Vorakten A5 S. 6 und A21 S. 8). Auch wenn sie lediglich ein "einfaches, ganz unten eingeordnetes Mitglied" gewesen sein will, so wäre doch zu erwarten, dass sie zumindest über rudimentäre Kenntnisse der Parteistrukturen und Hierarchien verfügt, was jedoch - entgegen der in der Beschwerde vertretenen Auffassung (vgl. S. 4) - nicht der Fall ist (vgl. Vorakten A21 S. 11 f.). Dies erstaunt umso mehr, als die Beschwerdeführerin gemäss ihren Angaben über eine ausgezeichnete Schulbildung mit Universitätsabschluss verfügt. Des Weiteren sind auch die Aussagen der Beschwerdeführerin zu den Flugblattaktionen, an denen sie angeblich beteiligt gewesen ist (vgl. A21 S. 9 f.), sowie zur Art und Weise, wie sie von der an sie adressierten Vorladung erfahren haben will (vgl. A21 S. 13 f.) sehr unsubstanziiiert ausgefallen; zudem fällt in diesem Kontext auf, dass sie auf die ihr gestellten Fragen nur ausweichende Antworten gab. Die Hinweise, die Beschwerdeführerin habe "in direkter Rede den Inhalt der Flugblätter wiedergegeben" ("Wir müssen unsere Einheit bewahren und wir brauchen die Unterstützung der Bevölkerung. Wir werden für das Volk kämpfen"; vgl. A21 S. 9 unten), zudem habe "der Interviewer die Beschwerdeführerin gleich dreimal" unterbrochen und "bei der Fragestellung die Antworten suggeriert" (vgl. Beschwerde S. 4 f.), vermögen insgesamt nicht zu überzeugen. An dieser Feststellung vermag auch der Umstand nichts zu ändern, dass im Protokoll tatsächlich nicht erkennbar ist, wieso die Beschwerdeführerin in der besagten Anhörung dreimal in ihren Antworten unterbrochen wurde (vgl. A21 S. 13 f.).</w:t>
      </w:r>
    </w:p>
    <w:p>
      <w:r>
        <w:rPr>
          <w:b/>
        </w:rPr>
        <w:t>E. 4.2</w:t>
      </w:r>
    </w:p>
    <w:p>
      <w:r>
        <w:t>Sodann kann auch der Auffassung der Vorinstanz gefolgt werden, die Vorbringen der Beschwerdeführerin widersprächen in wesentlichen Punkten der allgemeinen Erfahrung und der Logik des Handelns. So erstaunt es in der Tat, dass die Beschwerdeführerin - obwohl sie vorgängig wiederholt zur Einreichung von Identitätspapieren aufgefordert worden war - anlässlich der Anhörung vom 24. April 2014 erklärte, bis anhin keine Anstrengungen zur Beschaffung ihrer sich angeblich bei ihrer Mutter in Addis Abeba befindenden Identitätskarte unternommen beziehungsweise sich darüber auch nicht so viele Gedanken gemacht zu haben (vgl. A21 S. 3). Angesichts dessen, dass die Nachricht von der Zustellung einer Vorladung an die Beschwerdeführerin bewogen haben soll, von der Arbeit nicht mehr nach Hause zurückzukehren, sondern umgehend ihre Heimat zu verlassen, erscheint es auch nicht nachvollziehbar, dass sie sich nicht mehr eindeutig an die ausstellende Behörde, an den genaueren Inhalt des Dokumentes oder an die darin angedrohten Sanktionen erinnern konnte, obwohl ihre Mutter sie darüber in Kenntnis gesetzt haben soll (vgl. A21 S. 13 f.).</w:t>
      </w:r>
    </w:p>
    <w:p>
      <w:r>
        <w:rPr>
          <w:b/>
        </w:rPr>
        <w:t>E. 4.3</w:t>
      </w:r>
    </w:p>
    <w:p>
      <w:r>
        <w:t>Die Zweifel an der Glaubhaftigkeit der geltend gemachten Verfolgungssituation werden dadurch erhärtet, dass die Vorbringen teilweise auch widersprüchlich ausgefallen sind. So gab die Beschwerdeführerin in der Erstbefragung vom 13. November 2012 zu Protokoll, die Vorladung sei von der Bundespolizei gekommen und sie hätte sich auch bei der Polizei melden müssen (vgl. A5 S. 7), während sie in der Anhörung vom 24. April 2014 erklärte, sie habe mitbekommen, dass das Dokument von einem Gericht geschickt worden sei und sie hätte sich auch bei einem Gericht melden müssen; sie glaube, das Gericht, bei dem sie sich hätte melden müssen, heisse "K._______" und befinde sich im Quartier L._______ (vgl. A21 S. 13 f.). Mit der Darstellung, es sei "geradezu kennzeichnend im äthiopischen Kontext", dass ein Gericht das Strafverfahren mit einer Vorladung eröffne, während die Durchführung der Strafuntersuchung Sache der Bundespolizei sei (vgl. Beschwerde S. 5), lässt sich die erwähnte Unstimmigkeit nicht beseitigen.</w:t>
      </w:r>
    </w:p>
    <w:p>
      <w:r>
        <w:rPr>
          <w:b/>
        </w:rPr>
        <w:t>E. 4.4</w:t>
      </w:r>
    </w:p>
    <w:p>
      <w:r>
        <w:t>Zusammenfassend ergibt sich, dass die Vorbringen der Beschwerdeführerin den Anforderungen an die Glaubhaftigkeit nicht standhalten. Es kann darauf verzichtet werden, auf die übrigen Erwägungen der Vorinstanz und auf die weiteren Darlegungen in der Beschwerdeschrift vom 2. Juli 2014 (insbesondere auf die allgemeinen Ausführungen zur "Beurteilung der Glaubhaftmachung" und zum Flüchtlingsbegriff; vgl. Beschwerde S. 5 f.) einzugehen. Schliesslich ist festzuhalten, dass die - durch keine entsprechende Dokumente belegte - Inhaftierung des Vaters (vgl. A5 S. 4 und A21 S. 6 f.) von der Beschwerdeführerin selbst in keinen Zusammenhang mit ihren angeblichen Asylgründen gebracht wurde, weshalb es sich erübrigt, näher darauf einzugehen. Das Asylgesuch wurde vom BFM nach dem Gesagten zu Recht abgewiesen.</w:t>
      </w:r>
    </w:p>
    <w:p>
      <w:r>
        <w:rPr>
          <w:b/>
        </w:rPr>
        <w:t>E. 5</w:t>
      </w:r>
    </w:p>
    <w:p>
      <w:r>
        <w:t>Lehnt das Bundesamt das Asylgesuch ab oder tritt es darauf nicht ein, so verfügt es in der Regel die Wegweisung aus der Schweiz und ordnet den Vollzug an; es berücksichtigt dabei den Grundsatz der Einheit der Familie (Art. 44 AsylG). Die Beschwerdeführerin verfügt weder über eine ausländerrechtliche Aufenthaltsbewilligung noch über einen Anspruch auf Erteilung einer solchen. Ihre Wegweisung wurde demnach zu Recht angeordnet (Art. 44 AsylG; vgl. BVGE 2009/50 E. 9 m.w.H.).</w:t>
      </w:r>
    </w:p>
    <w:p>
      <w:r>
        <w:rPr>
          <w:b/>
        </w:rPr>
        <w:t>E. 6</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Vollzug ist nicht zulässig, wenn völkerrechtliche Verpflichtungen der Schweiz einer Weiterreise der Ausländerin oder des Ausländers in den Heimat-, Herkunfts- oder einen Drittstaat entgegenstehen (Art. 83 Abs. 3 AuG).</w:t>
      </w:r>
    </w:p>
    <w:p>
      <w:r>
        <w:rPr>
          <w:b/>
        </w:rPr>
        <w:t>E. 6.1.1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beziehungweise Art. 1A FK erfüllen. Da es der Beschwerdeführerin nicht gelungen ist, eine asylrechtlich erhebliche Gefährdung nachzuweisen oder glaubhaft zu machen, kann das in Art. 5 AsylG verankerte Prinzip des flüchtlingsrechtlichen Rückschiebungsverbot im vorliegenden Verfahren keine Anwendung finden. Eine Rückkehr der Beschwerdeführerin nach Äthiopien ist demnach unter dem Aspekt von Art. 5 AsylG rechtmässig.</w:t>
      </w:r>
    </w:p>
    <w:p>
      <w:r>
        <w:rPr>
          <w:b/>
        </w:rPr>
        <w:t>E. 6.1.2</w:t>
      </w:r>
    </w:p>
    <w:p>
      <w:r>
        <w:t>Gemäss Art. 25 Abs. 3 BV, Art. 3 des Übereinkommens vom 10. Dezember 1984 gegen Folter und andere grausame, unmenschliche oder erniedrigende Behandlung oder Strafe (FoK, SR 0.105) und der Praxis zu Art. 3 EMRK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[Grosse Kammer], Saadi gegen Italien, Urteil vom 28. Februar 2008, Beschwerde 37201/06, §§ 124-127 m.w.H.). Das ist vorliegend jedoch nicht der Fall, zumal die von der Beschwerdeführerin geltend gemachte Verfolgungssituation nicht als glaubhaft erachtet wurde.</w:t>
      </w:r>
    </w:p>
    <w:p>
      <w:r>
        <w:rPr>
          <w:b/>
        </w:rPr>
        <w:t>E. 6.1.3</w:t>
      </w:r>
    </w:p>
    <w:p>
      <w:r>
        <w:t>Der Vollzug der Wegweisung ist damit sowohl im Sinne der asyl- als auch der völkerrechtlichen Bestimmungen zulässig.</w:t>
      </w:r>
    </w:p>
    <w:p>
      <w:r>
        <w:rPr>
          <w:b/>
        </w:rPr>
        <w:t>E. 6.2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BVGE 2009/51 E. 5.5 S. 748; 2009/41 E. 7.1 S. 576 f.; Botschaft zum Bundesgesetz über die Ausländerinnen und Ausländer vom 8. März 2002, BBl 2002 3818).</w:t>
      </w:r>
    </w:p>
    <w:p>
      <w:r>
        <w:rPr>
          <w:b/>
        </w:rPr>
        <w:t>E. 6.2.1</w:t>
      </w:r>
    </w:p>
    <w:p>
      <w:r>
        <w:t>In Äthiopien herrscht im jetzigen Zeitpunkt weder Krieg noch Bürgerkrieg, und es liegt auch keine Situation allgemeiner Gewalt vor (vgl. BVGE 2011/25 E. 8.3 und 8.4).</w:t>
      </w:r>
    </w:p>
    <w:p>
      <w:r>
        <w:rPr>
          <w:b/>
        </w:rPr>
        <w:t>E. 6.2.2</w:t>
      </w:r>
    </w:p>
    <w:p>
      <w:r>
        <w:t>Es bleibt im Folgenden zu prüfen, ob allenfalls individuelle Gründe gegen den Vollzug der Wegweisung der Beschwerdeführerin sprechen könnten. Das Bundesverwaltungsgericht äusserte sich im vorstehend erwähnten Urteil auch eingehend zur Frage der Zumutbarkeit des Wegweisungsvollzugs alleinstehender Frauen nach Äthiopien und gelangte dabei zum Schluss, es müssten "begünstigende Umstände" vorliegen, aufgrund derer gewährleistet sei, dass sich die betroffene Frau nach ihrer Rückkehr nicht in einer existenzbedrohenden Situation wiederfinde (vgl. BVGE 2011/25 E. 8.5 und 8.6). Den Akten sind keine Anhaltspunkte zu entnehmen, dass die Beschwerdeführerin unter gesundheitlichen Problemen leiden würde. Sie ist jung, verfügt über eine sehr gute Ausbildung (nach Abschluss der zwölfjährigen Schulzeit ein dreijähriges, mit einem "Bachelor Degree" abgeschlossenes Philosophie-Studium an der Universität E._______ in Addis Abeba; vgl. A5 S. 3 und A21 S. 4 ff.), Berufserfahrung als "Marketing Officer" (vgl. A5 S. 3 und A21 S. 5 f) und gute Englischkenntnisse (vgl. A5 S. 3). Überdies leben ihre nächsten Angehörigen (Mutter, mit der sie in regelmässigem telefonischem Kontakt steht [vgl. A21 S. 2], sowie drei Tanten mütterlicherseits) nach wie vor in Addis Abeba (vgl. A5 S. 4), und es ist davon auszugehen, dass diese der Beschwerdeführerin bei der Reintegration behilflich sein werden und sie daher nicht in eine ihre Existenz bedrohende Situation geraten wird. An dieser Stelle ist darauf hinzuweisen, dass weitere Verwandte der Beschwerdeführerin im Ausland leben (vgl. A5 S. 4); es ist denkbar, dass diese ihr in der Anfangsphase gewisse finanzielle Unterstützung bieten werden. Im Übrigen steht der Beschwerdeführerin auch die Möglichkeit offen, in der Schweiz finanzielle Rückkehrhilfe zu beantragen.</w:t>
      </w:r>
    </w:p>
    <w:p>
      <w:r>
        <w:rPr>
          <w:b/>
        </w:rPr>
        <w:t>E. 6.2.3</w:t>
      </w:r>
    </w:p>
    <w:p>
      <w:r>
        <w:t>Nach dem Gesagten ist der Vollzug der Wegweisung auch als zumutbar zu bezeichnen.</w:t>
      </w:r>
    </w:p>
    <w:p>
      <w:r>
        <w:rPr>
          <w:b/>
        </w:rPr>
        <w:t>E. 6.3</w:t>
      </w:r>
    </w:p>
    <w:p>
      <w:r>
        <w:t>Schliesslich obliegt es der Beschwerdeführerin, sich bei der zuständigen Vertretung des Heimatstaates die für eine Rückkehr notwendigen Reisedokumente zu beschaffen (Art. 8 Abs. 4 AsylG; vgl. dazu auch BVGE 2008/34 E. 12 S. 513-515), weshalb der Vollzug der Wegweisung auch als möglich zu bezeichnen ist (Art. 83 Abs. 2 AuG).</w:t>
      </w:r>
    </w:p>
    <w:p>
      <w:r>
        <w:rPr>
          <w:b/>
        </w:rPr>
        <w:t>E. 6.4</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einer Überprüfung gemäss Art. 106 Abs. 1 AsylG standhält. Die Beschwerde ist abzuweisen.</w:t>
      </w:r>
    </w:p>
    <w:p>
      <w:r>
        <w:rPr>
          <w:b/>
        </w:rPr>
        <w:t>E. 8.1</w:t>
      </w:r>
    </w:p>
    <w:p>
      <w:r>
        <w:t>Bei diesem Ausgang des Verfahrens wären dessen Kosten grundsätzlich der Beschwerdeführerin aufzuerlegen (Art. 63 Abs. 1 und 5 VwVG). Da das Bundesverwaltungsgericht ihr indessen mit Zwischenverfügung vom 7. Juli 2014 die unentgeltliche Rechtspflege gewährt und sich an den diesbezüglichen Voraussetzungen nichts geändert hat, sind keine Verfahrenskosten aufzuerlegen.</w:t>
      </w:r>
    </w:p>
    <w:p>
      <w:r>
        <w:rPr>
          <w:b/>
        </w:rPr>
        <w:t>E. 8.2</w:t>
      </w:r>
    </w:p>
    <w:p>
      <w:r>
        <w:t>Sodann ordnete das Bundesverwaltungsgericht der Beschwerdeführerin mit Zwischenverfügung vom 7. Juli 2014 den Rechtsvertreter Tarig Hassan als unentgeltlichen Rechtsbeistand bei. Der Rechtsvertreter hat bis anhin keine Honorarnote eingereicht, doch lässt sich der notwendige Verwaltungsaufwand aufgrund der Aktenlage zuverlässig abschätzen, weshalb auf die Einholung einer solchen verzichtet werden kann (Art. 14 Abs. 2 des Reglements vom 21. Februar 2008 über die Kosten und Entschädigungen vor dem Bundesverwaltungsgericht [VGKE, SR 173.320.2]). In Anwendung der genannten Bestimmungen und unter Berücksichtigung der massgeblichen Bemessungsfaktoren (Art. 8 ff. VGKE) ist das durch das Bundesverwaltungsgericht auszurichtende amtliche Honorar auf Fr. 800.- (inkl. Auslagen und Mehrwertsteuer)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