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D-3687/2013 vom 17. Juli 2013</w:t>
      </w:r>
    </w:p>
    <w:p>
      <w:r>
        <w:t>Bundesverwaltungsgericht, 2013-07-17, DE</w:t>
      </w:r>
    </w:p>
    <w:p>
      <w:r>
        <w:rPr>
          <w:b/>
        </w:rPr>
        <w:t xml:space="preserve">Quelle: </w:t>
      </w:r>
      <w:r>
        <w:t>https://mcp.opencaselaw.ch/entscheid/bvger_D-3687_2013</w:t>
      </w:r>
    </w:p>
    <w:p>
      <w:r>
        <w:t>FR: TAF D-3687/2013 du 17 juillet 2013</w:t>
      </w:r>
    </w:p>
    <w:p>
      <w:r>
        <w:t>IT: TAF D-3687/2013 del 17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Eingabe vom 27. Juni 2013 erhebt der Beschwerdeführer den Einwand, er sei bei der Anhörung so durcheinander gebracht worden, dass er sich nicht mehr habe konzentrieren und an die Daten erinnern können. Er sei an der Anhörung so grob und manchmal unhöflich angesprochen worden, als wäre er ein Dieb und ein Lügner gewesen. Deshalb habe er die Fragen nicht mehr beantworten und die Anhörung abbrechen wollen. Auch der Hilfswerkvertreter habe sich bei dem Befrager darüber beklagt.</w:t>
      </w:r>
    </w:p>
    <w:p>
      <w:r>
        <w:rPr>
          <w:b/>
        </w:rPr>
        <w:t>E. 5.2</w:t>
      </w:r>
    </w:p>
    <w:p>
      <w:r>
        <w:t>Vorab ist an dieser Stelle festzuhalten, dass sämtliche an einer Asylbefragung teilnehmenden Personen hinsichtlich ihrer Vertrauenswürdigkeit und charakterlichen Eignung sorgfältig geprüft werden und somit das volle Vertrauen der Behörden geniessen. Sie unterliegen einer Geheimhaltungspflicht, werden auf ihre wichtige Rolle in der Sachverhaltsermittlung und auf die damit verbundene Sorgfaltspflicht hingewiesen. Im vorliegenden Fall sind denn auch aus den Akten keine Hinweise ersichtlich, die Zweifel an der Professionalität des Befragers aufkommen liessen. Dem Anhörungsprotokoll vom 21. Februar 2013 lässt sich weder der Wunsch des Beschwerdeführers, die Anhörung abzubrechen, noch eine Klage der Hilfswerksvertretung entnehmen. Hingegen bestätigte der Hilfs­werk­vertreter mit seiner Unterschrift, dass er keine Beanstandungen anzu­bringen habe und die Anhörung korrekt abgelaufen sei (vgl. A18/14 S. 14). Auch machte er den Beschwerdeführer nach der Rückübersetzung darauf aufmerksam, dass in dessen Schilderungen die Zeitspanne von einem Jahr fehle, woraufhin der Beschwerdeführer lediglich nachfragte, ob die Revolution Anfang oder Ende 2011 stattgefunden habe (vgl. A18/14 S. 11 F. 84 ff.). Nachdem der Beschwerdeführer also während der Dauer des vorinstanzlichen Verfahrens keinerlei diesbezügliche Zweifel geäussert hat, ist seine Rüge - auf Beschwerdeebene vorgebracht - als offensichtlich nachgeschoben und somit unbegründet zu qualifizieren. Im vorliegenden Fall wurde der Sachverhalt richtig erstellt, und die entsprechende Rüge kann nicht gehört werden. (vgl. Urteil des Bundesverwaltungsgerichts E-2352/2011 vom 9. April 2013 E. 3.2.2.).</w:t>
      </w:r>
    </w:p>
    <w:p>
      <w:r>
        <w:rPr>
          <w:b/>
        </w:rPr>
        <w:t>E. 5.3</w:t>
      </w:r>
    </w:p>
    <w:p>
      <w:r>
        <w:t>Nach Prüfung der Akten durch das Bundesverwaltungsgericht ist - in Übereinstimmung mit der Vorinstanz - festzustellen, dass der Beschwerdeführer die Flüchtlingseigenschaft nicht erfüllt und er im Falle einer Rück­kehr in seine Heimat nicht befürchten muss, dort ernsthafte Nachteile im Sinne von Art. 3 AsylG zu erleiden. Zur Vermeidung von Wiederholungen wird auf die zutreffenden vorinstanzlichen Erwägungen verwiesen (vgl. Erwägungen D.a - D.d vorstehend). Darüber hinaus ergeben sich weitere Unstimmigkeiten in den Schilderungen des Beschwerdeführers. So gab er bei der Befragung zu Protokoll, seine Eltern seien bereits verstorben (vgl. A5/15 S. 5); sein Vater 1982, seine Mutter 2008, um dann bei der Anhörung geltend zu machen, nach der Verurteilung des Salafis­ten hätten seine Eltern ihm geraten, den Ort zu verlassen (vgl. A18/14 S. 6 F. 47). Ausserdem hätten ihn seine Eltern zur Ausreise verpflichtet, sie hätten sie organisiert und ihn zum Treffpunkt gebracht. Seither habe er keinen Kontakt mehr zu seinen Eltern (vgl. A18/14 S. 9 F. 72). Seine Eltern hätten ihm gesagt, er solle nicht anrufen, bevor er einen festen Wohnort habe; er solle selber für sich schauen, weil seine Situation schwierig sei und er solle sich keine Sorgen um seine Eltern machen (vgl. A18/14 S. 10 F. 73). Nach der Rückübersetzung gab der Beschwerdeführer auf den entsprechenden Vorhalt des Befragers zu Protokoll, er habe gesagt, die Familie habe ihm geholfen. Damit seien nicht seine Eltern ge­meint gewesen. Familie heisse "die grosse Familie", und zwar sein Onkel und seine Tante mütterlicherseits (vgl. A18/14 S. 10 F. 76). Mit Familie habe er die Verwandten gemeint. Seine Tanten väterlicherseits, seine On­kel mütterlicherseits sowie eine Tante mütterlicherseits hätten ihm geholfen (vgl. A18/14 S. 10 F. 77). Der Beschwerdeführer hat jedoch ausdrücklich und mehrmals von seinen Eltern gesprochen - daran vermögen die oben zitierten Erklärungsversuche nichts zu ändern, auch deshalb ist auf die Unglaubhaftigkeit seiner Vorbringen zu schliessen.</w:t>
      </w:r>
    </w:p>
    <w:p>
      <w:r>
        <w:rPr>
          <w:b/>
        </w:rPr>
        <w:t>E. 5.4</w:t>
      </w:r>
    </w:p>
    <w:p>
      <w:r>
        <w:t>Zusammenfassend ist somit festzustellen, dass es dem Beschwerdeführer nicht gelungen ist, nachzuweisen oder glaubhaft zu machen, dass er in der Heimat ernsthafte Nachteile gemäss Art. 3 AsylG erlitten hat oder solche bei der Ausreise befürchten müsste. Er erfüllt somit die Voraussetzungen zur Zuerkennung der Flüchtlingseigenschaft nicht, weshalb die Vorinstanz sein Asylbegehren zu Recht abgelehnt hat. Es erübrigt sich deshalb, auf die weiteren Vorbringen in der Rechtsmitteleingabe im Einzelnen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m.w.H.).</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Ägypten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Ägypten herrscht keine Situation allgemeiner Gewalt, weshalb in konstanter Praxis von der generellen Zumutbarkeit des Wegweisungsvoll­zugs dorthin ausgegangen wird (vgl. statt vieler Urteil des Bundesverwaltungsgerichts E-6277/2012 vom 11. März 2013 m. w. H.).</w:t>
      </w:r>
    </w:p>
    <w:p>
      <w:r>
        <w:rPr>
          <w:b/>
        </w:rPr>
        <w:t>E. 7.6</w:t>
      </w:r>
    </w:p>
    <w:p>
      <w:r>
        <w:t>Der Beschwerdeführer gehört der Glaubensgemeinschaft der koptischen Christen an. Im heutigen Ägypten sind die koptischen Christen eine Minderheit innerhalb der muslimischen Bevölkerungsmehrheit, die gesellschaftlichen Benachteiligungen ausgesetzt ist. Auch kamen im Januar 2011 in Alexandria bei der Explosion einer Kirche 23 Menschen ums Leben kamen. Nur zwei Monate später, Anfang März, stand in Kairo eine Kirche in Flammen. Dennoch ist nicht zu vernachlässigen, dass beide Be­völkerungsgruppen das ägyptische Nationalbewusstsein verbindet, und Muslime und Christen Seite an Seite bei der ägyptischen Revolution für Frieden und Demokratie gebetet haben. Nach dem Sturz von Präsident Mohammed Mursi kommt nun auch die Bildung einer Übergangsregierung voran, und der Geschäftsführende Ministerpräsident Hasem al-Beb­lawi hat vor allem Liberale und Experten eingesetzt. Öffentlich zugänglichen Quellen zufolge haben zwei hochrangige Regierungsvertreter berichtet, dass der Christ Hani Kanri neuer Finanzminister werden soll. Mohammed al-Baradei, der Nobelpreisträger und liberale Politiker, legte den Amtseid als Vizepräsident für internationale Beziehungen ab. Die Staatsanwaltschaft berichtete unterdessen von mehreren Anzeigen, die gegen den Islamisten Mursi und führende Vertreter der Muslimbruderschaft, da­runter der Chef der Muslimbruderschaft, Mohammed Badie, und weitere Parteifunktionäre erstattet worden seien. Darin seien ihnen Spionage, An­stiftung zur Gewalt und Misswirtschaft vorgeworfen worden. Ausserdem habe die ägyptische Justiz die Guthaben von vierzehn hochrangigen Muslimbrüdern eingefroren.</w:t>
      </w:r>
    </w:p>
    <w:p>
      <w:r>
        <w:rPr>
          <w:b/>
        </w:rPr>
        <w:t>E. 7.7</w:t>
      </w:r>
    </w:p>
    <w:p>
      <w:r>
        <w:t>Der Beschwerdeführer hat in seiner Heimat zwölf Jahre lang die Schule besucht und verfügt über Berufserfahrung als Goldschmied. Seinen Aussagen zufolge hatte er in C._______ einen kleinen Laden (vgl. A5/15 S. 4) beziehungsweise war er der einzige Mitarbeiter im Betrieb seines Onkels (vgl. A18/14 S. 3 F. 18.), er sei aber auch in Libyen, in Jordanien, in Kuwait und im Irak berufstätig gewesen (vgl. A5/15 S. 4), dabei sei er immer von seinem Onkel begleitet worden (vgl. A18/14 S. 3 F. 17). Seine Flexibilität, auch im Ausland berufstätig gewesen zu sein, sowie seine Bereitschaft, in die Schweiz zu reisen, lässt auf seine Fähigkeit schliessen, sich an veränderte Verhältnisse anzupassen. Gestützt auf die vorstehende Erwägung ist in Ägypten nicht von flächendeckender Gewalt auszugehen, somit kann der Beschwerdeführer wieder an seinen Heimat­ort zurück, wo er nichts von Islamisten zu befürchten hat, die jetzt im Fokus des Militärs sind. Es ist somit davon auszugehen, dass er bei einer Rückkehr seinen Lebensunterhalt bestreiten kann. Zudem leben neben seinen insgesamt fünf Geschwistern (vgl. A5/15 S. 5) noch zahlreiche andere Verwandte (vgl. vorstehend 5.3) in seinem Heimatland, die ihn bei einer Rückkehr unterstützen können. Der Vollzug ist demnach zumutbar.</w:t>
      </w:r>
    </w:p>
    <w:p>
      <w:r>
        <w:rPr>
          <w:b/>
        </w:rPr>
        <w:t>E. 7.8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7.9</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Gesuch um Gewährung der unentgeltlichen Rechtspflege gemäss Art. 65 Abs. 1 VwVG ist abzuweisen, da die Beschwerde aufgrund der vorstehenden Erwägungen als aussichtslos erscheint.</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