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D-3683/2011 vom 26. Juli 2011</w:t>
      </w:r>
    </w:p>
    <w:p>
      <w:r>
        <w:t>Bundesverwaltungsgericht, 2011-07-26, FR</w:t>
      </w:r>
    </w:p>
    <w:p>
      <w:r>
        <w:rPr>
          <w:b/>
        </w:rPr>
        <w:t xml:space="preserve">Quelle: </w:t>
      </w:r>
      <w:r>
        <w:t>https://mcp.opencaselaw.ch/entscheid/bvger_D-3683_2011</w:t>
      </w:r>
    </w:p>
    <w:p>
      <w:r>
        <w:t>FR: TAF D-3683/2011 du 26 juillet 2011</w:t>
      </w:r>
    </w:p>
    <w:p>
      <w:r>
        <w:t>IT: TAF D-3683/2011 del 26 luglio 2011</w:t>
      </w:r>
    </w:p>
    <w:p>
      <w:pPr>
        <w:pStyle w:val="Heading2"/>
      </w:pPr>
      <w:r>
        <w:t>Regeste</w:t>
      </w:r>
    </w:p>
    <w:p>
      <w:r>
        <w:t>Asile (non-entrée en matière / procédure Dublin) et renvoi</w:t>
      </w:r>
    </w:p>
    <w:p>
      <w:pPr>
        <w:pStyle w:val="Heading2"/>
      </w:pPr>
      <w:r>
        <w:t>Erwägungen</w:t>
      </w:r>
    </w:p>
    <w:p>
      <w:r>
        <w:rPr>
          <w:b/>
        </w:rPr>
        <w:t>E. 4</w:t>
      </w:r>
    </w:p>
    <w:p>
      <w:r>
        <w:t>A._______ ayant déposé une première demande d'asile auprès de l'ambassade de Suisse en Turquie, le 2 novembre 2010, avant de venir en Suisse y déposer une deuxième demande d'asile, le 27 avril 2011, il convient de déterminer laquelle de ces demandes a déclenché le processus de détermination de l'Etat membre compétent au sens du règlement Dublin II. Ainsi qu'il ressort des art. 3 par. 1 première phrase et 4 par. 1 dudit règlement (cf. infra consid. 3.3 et 3.4), le dépôt d'une demande d'asile ne déclenche le processus de détermination de l'Etat compétent pour la traiter que si elle est présentée à l'un des Etats membres, que ce soit à la frontière ou sur le territoire de l'Etat membre concerné. En revanche, le règlement Dublin II ne s'applique pas lorsqu'une demande d'asile est présentée depuis l'étranger, respectivement auprès d'une ambassade d'un Etat membre (cf. Mathias Hermann, Das Dublin System, Eine Analyse der europäischen Regelungen über die Zuständigkeit der Staaten zur Prüfung von Asylanträgen unter besonderer Berücksichtigung der Assoziation der Schweiz, Zurich, Bâle et Genève 2008, p. 36). En effet, contrairement à une demande d'asile présentée à l'aéroport, une requête déposée auprès d'une ambassade n'est pas considérée comme une demande d'asile présentée à la frontière d'un Etat membre (cf. également à ce sujet Christian Filzwieser/Andrea Sprung, Dublin II - Verordnung, 3ème éd., Vienne/Graz 2010, K 12 et 13 ad art. 4 par. 4). A cet égard, il convient de rappeler que le site d'une ambassade n'est pas considéré comme faisant partie du territoire national du pays qu'elle représente. Il est soumis à la législation de l'Etat hôte (Etat accréditaire), mais jouit de privilèges et immunités qui comprennent : la liberté de communication entre la mission diplomatique et les autorités de l'Etat d'envoi; l'inviolabilité du personnel diplomatique, qui ne peut être ni arrêté ni détenu; l'inviolabilité des locaux diplomatiques (les autorités locales ne peuvent y pénétrer qu'avec l'autorisation du chef de la mission diplomatique); l'immunité juridictionnelle (aucune action en justice n'est possible contre un agent diplomatique ou sa famille) et des exonérations fiscales. Les privilèges et immunités sont accordés non pas pour avantager les individus mais pour leur permettre d'accomplir leurs fonctions en toute indépendance par rapport à l'Etat accréditaire. Les personnes qui bénéficient de privilèges et d'immunités doivent respecter les lois de l'Etat de résidence (art. 41 de la Convention de Vienne sur les relations diplomatiques et art. 55 de la Convention de Vienne sur les relations consulaires). Cela signifie que les autorités de l'Etat hôte n'ont pas le droit d'y pénétrer sans l'autorisation de l'Etat qui y a envoyé ses représentants. L'extraterritorialité des ambassades, une fiction juridique abandonnée au XIXe siècle, n'est, elle, pas prévue par la Convention de Vienne sur les relations diplomatiques, datant de 1961 (cf. notamment : Denis Alland, Droit international public, Paris 2000, p. 524 ss; Département fédéral des affaires étrangères, ABC du Droit international public, Berne 2009, p. 22, &lt;http://www.dfae.ch&gt; sous Documentation / Publications / Droit international public). Par conséquent, la demande d'asile déposée le 2 novembre 2010 auprès de l'Ambassade de Suisse en Turquie ne tombe pas dans le champ d'application du règlement Dublin II, de sorte que c'est uniquement la demande d'asile déposée en Suisse le 27 avril 2011 qui est prise en considération pour la détermination de l'Etat compétent au sens dudit règlement.</w:t>
      </w:r>
    </w:p>
    <w:p>
      <w:r>
        <w:rPr>
          <w:b/>
        </w:rPr>
        <w:t>E. 5.1</w:t>
      </w:r>
    </w:p>
    <w:p>
      <w:r>
        <w:t>Aux termes de l'art. 3 par. 1 deuxième phrase du règlement Dublin II, une demande d'asile est examinée par un seul Etat membre, celui-ci étant déterminé à l'aide des critères fixés à son chapitre III. Ces critères de détermination de l'Etat responsable du traitement de la demande d'asile sont au nombre de onze et sont répartis en quatre grandes catégories de liens (familiaux, administratifs, matériels et de fait). En plus de ces catégories, le règlement Dublin II prévoit une série de situations humanitaires à prendre en compte. En vertu du principe de l'application hiérarchique des critères de détermination de l'Etat responsable (art. 5 du Règlement Dublin II), chacun de ces critères n'a vocation à s'appliquer que si le critère qui le précède dans le règlement est inopérant dans la situation en question. L'ultime critère retenu en cas d'échec des précédents est celui du lieu de dépôt de la demande d'asile.</w:t>
      </w:r>
    </w:p>
    <w:p>
      <w:r>
        <w:rPr>
          <w:b/>
        </w:rPr>
        <w:t>E. 5.2</w:t>
      </w:r>
    </w:p>
    <w:p>
      <w:r>
        <w:t>En vertu de l'art. 16 par. 1 point a du règlement Dublin II, l'Etat membre responsable de l'examen d'une demande d'asile en vertu dudit règlement est tenu de prendre en charge, dans les conditions prévues aux art. 17 à 19, le demandeur d'asile qui a introduit une demande dans un autre Etat membre.</w:t>
      </w:r>
    </w:p>
    <w:p>
      <w:r>
        <w:rPr>
          <w:b/>
        </w:rPr>
        <w:t>E. 5.3</w:t>
      </w:r>
    </w:p>
    <w:p>
      <w:r>
        <w:t>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cf. également l'art. 29a al. 3 OA 1).</w:t>
      </w:r>
    </w:p>
    <w:p>
      <w:r>
        <w:rPr>
          <w:b/>
        </w:rPr>
        <w:t>E. 6.1</w:t>
      </w:r>
    </w:p>
    <w:p>
      <w:r>
        <w:t>En l'occurrence, A._______ étant titulaire d'un visa en cours de validité délivré par un Etat membre, à savoir l'Italie, c'est l'art. 9 par. 2 du règlement Dublin II qui s'applique. Selon cette disposition, l'Italie est donc responsable de l'examen de la demande d'asile. Les autorités italiennes ayant expressément accepté de prendre en charge le requérant, le 15 juin 2011, elles ont reconnu leur compétence pour traiter la demande d'asile de ce dernier. Pour sa part, l'intéressé s'est contenté de faire valoir qu'il n'avait fait que transiter par l'Italie, qu'il n'avait jamais eu l'intention d'y déposer une demande d'asile et qu'il craignait d'être renvoyé en Turquie par les autorités italiennes. Ces motifs ne sont toutefois pas pertinents pour réfuter la compétence de l'Italie, laquelle est ainsi donnée en vertu de la disposition précitée du règlement Dublin II.</w:t>
      </w:r>
    </w:p>
    <w:p>
      <w:r>
        <w:rPr>
          <w:b/>
        </w:rPr>
        <w:t>E. 6.2</w:t>
      </w:r>
    </w:p>
    <w:p>
      <w:r>
        <w:t>Cela étant, l'intéressé a implicitement sollicité l'application de la clause de souveraineté prévue à l'art. 3 par. 2 du règlement Dublin II.</w:t>
      </w:r>
    </w:p>
    <w:p>
      <w:r>
        <w:rPr>
          <w:b/>
        </w:rPr>
        <w:t>E. 6.2.1</w:t>
      </w:r>
    </w:p>
    <w:p>
      <w:r>
        <w:t>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6.2.2</w:t>
      </w:r>
    </w:p>
    <w:p>
      <w:r>
        <w:t>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nos 2, 12 et 15 du règlement Dublin II).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ATAF 2010/45 consid. 7.4 et 7.5 et réf. cit.).</w:t>
      </w:r>
    </w:p>
    <w:p>
      <w:r>
        <w:rPr>
          <w:b/>
        </w:rPr>
        <w:t>E. 6.2.3</w:t>
      </w:r>
    </w:p>
    <w:p>
      <w:r>
        <w:t>En l'occurrence, l'intéressé n'a fourni aucun élément concret selon lequel l'Italie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Il n'a pas non plus établi l'existence d'un risque personnel, concret et sérieux que son transfert vers l'Italie serait contraire à l'art. 3 CEDH ou à une autre obligation du droit international public auquel la Suisse est liée. Partant, le transfert du recourant vers l'Italie s'avère conforme aux engagements de la Suisse relevant du droit international.</w:t>
      </w:r>
    </w:p>
    <w:p>
      <w:r>
        <w:rPr>
          <w:b/>
        </w:rPr>
        <w:t>E. 6.2.4</w:t>
      </w:r>
    </w:p>
    <w:p>
      <w:r>
        <w:t>Il n'existe par ailleurs pas de "raisons humanitaires" au sens de l'art. 29a al. 3 OA1, susceptibles d'empêcher ce transfert (cf. dans ce sens cf. ATAF 2010/45 consid. 8).</w:t>
      </w:r>
    </w:p>
    <w:p>
      <w:r>
        <w:rPr>
          <w:b/>
        </w:rPr>
        <w:t>E. 6.2.5</w:t>
      </w:r>
    </w:p>
    <w:p>
      <w:r>
        <w:t>En conséquence, il n'y a pas lieu d'appliquer la clause de souveraineté prévue par l'art. 3 par. 2 du règlement Dublin II.</w:t>
      </w:r>
    </w:p>
    <w:p>
      <w:r>
        <w:rPr>
          <w:b/>
        </w:rPr>
        <w:t>E. 6.3</w:t>
      </w:r>
    </w:p>
    <w:p>
      <w:r>
        <w:t>L'Italie demeure dès lors l'Etat responsable de l'examen de la demande d'asile du recourant au sens du règlement Dublin II et est tenue de le prendre en charge, dans les conditions prévues à l'art. 19 du règlement Dublin II.</w:t>
      </w:r>
    </w:p>
    <w:p>
      <w:r>
        <w:rPr>
          <w:b/>
        </w:rPr>
        <w:t>E. 6.4</w:t>
      </w:r>
    </w:p>
    <w:p>
      <w:r>
        <w:t>Dans ces conditions, c'est à bon droit que l'ODM n'est pas entré en matière sur sa demande d'asile, en application de l'art. 34 al. 2 let. d LAsi, et qu'il a prononcé son renvoi (ou transfert) de Suisse vers l'Italie, en application de l'art. 44 al. 1 LAsi, aucune exception à la règle générale du renvoi n'étant réalisée (art. 32 OA 1).</w:t>
      </w:r>
    </w:p>
    <w:p>
      <w:r>
        <w:rPr>
          <w:b/>
        </w:rPr>
        <w:t>E. 7</w:t>
      </w:r>
    </w:p>
    <w:p>
      <w:r>
        <w:t>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w:t>
      </w:r>
    </w:p>
    <w:p>
      <w:r>
        <w:rPr>
          <w:b/>
        </w:rPr>
        <w:t>E. 8</w:t>
      </w:r>
    </w:p>
    <w:p>
      <w:r>
        <w:t>Au vu de ce qui précède, le recours doit être rejeté et la décision de l'ODM du 22 juin 2011 confirmée.</w:t>
      </w:r>
    </w:p>
    <w:p>
      <w:r>
        <w:rPr>
          <w:b/>
        </w:rPr>
        <w:t>E. 9</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1er juillet 2010,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