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D-3681/2015 vom 28. März 2017</w:t>
      </w:r>
    </w:p>
    <w:p>
      <w:r>
        <w:t>Bundesverwaltungsgericht, 2017-03-28, FR</w:t>
      </w:r>
    </w:p>
    <w:p>
      <w:r>
        <w:rPr>
          <w:b/>
        </w:rPr>
        <w:t xml:space="preserve">Quelle: </w:t>
      </w:r>
      <w:r>
        <w:t>https://mcp.opencaselaw.ch/entscheid/bvger_D-3681_2015</w:t>
      </w:r>
    </w:p>
    <w:p>
      <w:r>
        <w:t>FR: TAF D-3681/2015 du 28 mars 2017</w:t>
      </w:r>
    </w:p>
    <w:p>
      <w:r>
        <w:t>IT: TAF D-3681/2015 del 28 marzo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A._______ a qualité pour recourir. Présenté dans la forme et dans les délais prescrits par la loi, le recours est recevable (art. 48 al. 1 et 52 al. 1 PA,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3</w:t>
      </w:r>
    </w:p>
    <w:p>
      <w:r>
        <w:t>En l'espèce, il s'agit d'examiner, en plus de la qualité de réfugié d'ores et déjà reconnue par le SEM sur la base de motifs subjectifs survenus après la fuite, au sens de l'art. 54 LAsi (cf. à ce sujet ATAF 2009/29 consid. 5.1 p. 376, et jurisp. cit.), si le recourant peut également prétendre à l'octroi de l'asile pour les motifs invoqués en rapport avec son départ du Sri Lanka.</w:t>
      </w:r>
    </w:p>
    <w:p>
      <w:r>
        <w:rPr>
          <w:b/>
        </w:rPr>
        <w:t>E. 4</w:t>
      </w:r>
    </w:p>
    <w:p>
      <w:r>
        <w:t>A cet égard, c'est à juste titre que le SEM a considéré que les allégations de A._______ contenaient des contradictions importantes et s'avèrent, en fin de compte, invraisemblables. Le récit selon lequel il aurait aperçu, par la fenêtre du salon, des hommes armés escalader le portail de sa maison (cf. pv de l'audition du 22 avril 2015, p. 11 s.) est stéréotypé. L'ajout selon lequel il aurait alors quitté les lieux par la porte arrière apparaît très peu plausible, car il n'est pas imaginable que des personnes ayant décidé de prendre par surprise l'occupant d'une habitation concentrent tous leurs efforts sur l'entrée principale et négligent totalement d'autres issues. Le recourant aurait également laissé sa mère sous la menace d'une attaque imminente sans même l'avertir, alors qu'elle se trouvait, juste à côté, dans la cuisine. Pareil comportement ne correspond aucunement à celui d'une personne pourvue de facultés humaines ordinaires. Placée dans des circonstances analogues, toute personne dotée de ces facultés chercherait en effet, sinon à mettre à l'abri un proche, du moins à l'avertir d'un danger imminent. Les explications de A._______, selon lesquelles les personnes âgées seraient au bénéfice d'un statut particulier et ne risqueraient rien au Sri Lanka, ne convainquent pas. Par ailleurs, il n'est pas crédible que, craignant pour sa sécurité, vivant caché à B._______ et ne sortant que rarement la nuit tombée, il se soit rendu à une inauguration de bibliothèque à C._______ pour y faire un discours public, en présence de journalistes (cf. pv de l'audition du 22 avril 2015, p. 13 ss). La raison invoquée à l'appui de ce comportement, selon laquelle il aurait pu croire qu'aucun membre du Pillayan allait se rendre à cette inauguration, pourtant annoncée publiquement, avec son nom sur les invitations, apparaît tout aussi illogique. Une telle absence de précautions ne coïncide manifestement pas avec le comportement d'une personne contrainte de se cacher et craignant d'être à tout moment enlevée, voire tuée. Il y a pour le surplus lieu de confirmer la décision attaquée en ce qu'elle contient d'autres arguments sur le caractère invraisemblable des motifs d'asile invoqués par A._______. Dans ces circonstances, l'intéressé n'a pas rendu vraisemblable, au sens de l'art. 7 LAsi, avoir été soumis, avant son départ, à un préjudice déterminant en matière d'asile, ni risquer un tel préjudice en cas de retour dans ce pays pour des motifs postérieurs objectifs. Il s'ensuit que le recours, qui ne porte que sur l'octroi de l'asile, doit être rejeté.</w:t>
      </w:r>
    </w:p>
    <w:p>
      <w:r>
        <w:rPr>
          <w:b/>
        </w:rPr>
        <w:t>E. 5</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6</w:t>
      </w:r>
    </w:p>
    <w:p>
      <w:r>
        <w:t>Il n'y a pas lieu d'examiner si l'exécution du renvoi est possible, licite ou raisonnablement exigible, au sens de l'art. 83 LEtr (RS 142.20), le SEM, dans sa décision du 8 mai 2015, ayant ordonné l'admission provisoire du recourant pour cause d'illicéité de cette mesure (ATAF 2009/51 consid. 5.4).</w:t>
      </w:r>
    </w:p>
    <w:p>
      <w:r>
        <w:rPr>
          <w:b/>
        </w:rPr>
        <w:t>E. 7.1</w:t>
      </w:r>
    </w:p>
    <w:p>
      <w:r>
        <w:t>La demande de dispense de l'avance des frais de procédure déposée simultanément au recours est sans objet.</w:t>
      </w:r>
    </w:p>
    <w:p>
      <w:r>
        <w:rPr>
          <w:b/>
        </w:rPr>
        <w:t>E. 7.2</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l'intéressé n'ayant pas demandé l'assistance judiciaire.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