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D-3680/2019 vom 31. Juli 2019</w:t>
      </w:r>
    </w:p>
    <w:p>
      <w:r>
        <w:t>Bundesverwaltungsgericht, 2019-07-31, DE</w:t>
      </w:r>
    </w:p>
    <w:p>
      <w:r>
        <w:rPr>
          <w:b/>
        </w:rPr>
        <w:t xml:space="preserve">Quelle: </w:t>
      </w:r>
      <w:r>
        <w:t>https://mcp.opencaselaw.ch/entscheid/bvger_D-3680_2019</w:t>
      </w:r>
    </w:p>
    <w:p>
      <w:r>
        <w:t>FR: TAF D-3680/2019 du 31 juillet 2019</w:t>
      </w:r>
    </w:p>
    <w:p>
      <w:r>
        <w:t>IT: TAF D-3680/2019 del 31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(Art. 83 Abs. 7 und Art. 84) sind unverändert vom AuG ins AIG übernommen worden, weshalb nachfolgend die neue Gesetzesbezeichnung verwendet wird.</w:t>
      </w:r>
    </w:p>
    <w:p>
      <w:r>
        <w:rPr>
          <w:b/>
        </w:rPr>
        <w:t>E. 1.4</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VwVG). Auf die frist- und formgerecht eingereichte Beschwerde ist einzutreten (aArt. 108 Abs. 2 AsylG; Art. 105 AsylG i.V.m. Art. 37 VGG und Art. 52 Abs. 1 VwVG).</w:t>
      </w:r>
    </w:p>
    <w:p>
      <w:r>
        <w:rPr>
          <w:b/>
        </w:rPr>
        <w:t>E. 2.1</w:t>
      </w:r>
    </w:p>
    <w:p>
      <w:r>
        <w:t>Die Kognition des Bundesverwaltungsgerichts und die zulässigen Rügen richten sich im Asylbereich nach Art. 106 Abs. 1 AsylG (Verletzung von Bundesrecht, einschliesslich Missbrauch und Überschreiten des Ermessens [Bst. a]; unrichtige und unvollständige Feststellung des rechtserheblichen Sachverhalts [Bst. b]), im Bereich des Ausländerrechts nach Art. 49 VwVG (vgl. BVGE 2014/26 E. 5).</w:t>
      </w:r>
    </w:p>
    <w:p>
      <w:r>
        <w:rPr>
          <w:b/>
        </w:rPr>
        <w:t>E. 2.2</w:t>
      </w:r>
    </w:p>
    <w:p>
      <w:r>
        <w:t>Die vorliegende Beschwerde erweist sich - wie nachfolgend aufgezeigt - als offensichtlich unbegründet, weshalb über sie in einzelrichterlicher Zuständigkeit mit Zustimmung eines zweiten Richters zu entscheiden ist (Art. 111 Bst. e AsylG). Der Beschwerdeentscheid ist nur summarisch zu begründen (Art. 111a Abs. 2 AsylG). Auf einen Schriftenwechsel wurde gestützt auf Art. 111a Abs. 1 AsylG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Dabei ist auch den frauenspezifischen Fluchtgründen Rechnung zu tragen.</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mit weiteren Hinweisen).</w:t>
      </w:r>
    </w:p>
    <w:p>
      <w:r>
        <w:rPr>
          <w:b/>
        </w:rPr>
        <w:t>E. 4.1</w:t>
      </w:r>
    </w:p>
    <w:p>
      <w:r>
        <w:t>Der Bundesrat hat die Mongolei mit Beschluss vom 28. Juni 2000 als verfolgungssicheren Staat im Sinne von Art. 6a Abs. 2 Bst. a AsylG bezeichnet und ist auf diese Einschätzung im Rahmen der periodischen Überprüfung (vgl. Art. 6a Abs. 3 AsylG) bisher nicht zurückgekommen ist. Die Bezeichnung eines Landes als so genanntes "safe country" beinhaltet die Regelvermutung, dass eine flüchtlingsrechtlich bedeutsame staatliche Verfolgung nicht stattfindet und der behördliche Schutz vor nichtstaatlicher Verfolgung (für alle Bevölkerungsschichten) gewährleistet ist. Es handelt sich dabei um eine relative Verfolgungssicherheit, weshalb im Einzelfall auf Grund konkreter und substantiierter Hinweise diese Regelvermutung umgestossen werden kann.</w:t>
      </w:r>
    </w:p>
    <w:p>
      <w:r>
        <w:rPr>
          <w:b/>
        </w:rPr>
        <w:t>E. 4.2</w:t>
      </w:r>
    </w:p>
    <w:p>
      <w:r>
        <w:t>Das SEM begründete die Ablehnung der Asylgesuche in der angefochtenen Verfügung damit, die betreffenden Vorbringen des Beschwerdeführers seien nicht glaubhaft. Dieser Einschätzung ist zu folgen.</w:t>
      </w:r>
    </w:p>
    <w:p>
      <w:r>
        <w:rPr>
          <w:b/>
        </w:rPr>
        <w:t>E. 4.3</w:t>
      </w:r>
    </w:p>
    <w:p>
      <w:r>
        <w:t>Zunächst fällt auf, dass der Beschwerdeführer bei der BzP den angeblichen Angriff auf ihn und seine Familie vom 25. Juli 2017 in ihrer Wohnung mit keinem Wort erwähnt hat (vgl. act. A8/12 S. 7 f. Ziffn. 7.01 und 7.03). Angesichts der Tatsache, dass dieses Vorkommnis für die Ausreise der Beschwerdeführenden bei der einlässlichen Anhörung als zentrales, unmittelbar ausreisebegründendes Geschehnis dargestellt wird (vgl. act. A28/12 S. 6 F42 f. und act. A29/20 S. 9 F50), wiegt die Nichterwähnung dieses Geschehnisses durch den Beschwerdeführer bei der BzP schwer. Sein auf Vorhalt hin gemachter Einwand, er sei hierzu - im Gegensatz zu seiner Ehefrau - bei der BzP nicht befragt worden (vgl. act. A29/20 S. 16 f. F117 f.), erweist sich als unbehelflich: Zum einen ist festzuhalten, dass von einem Asylsuchenden ohne Weiteres zu erwarten ist, dass er die zentralen Ausreisegründe spontan von sich aus und von Anfang an offenbart. Zum anderen bleibt anzufügen, dass die Ehefrau des Beschwerdeführers dieses Vorkommnis in der BzP entgegen der Behauptung des Beschwerdeführers von sich aus und nicht auf Nachfrage hin erzählt hat (vgl. act. A9/11 S. 7 Ziff. 7.01). Bereits aus diesem Grunde bestehen erste Zweifel an den Asylvorbringen der Beschwerdeführenden.</w:t>
      </w:r>
    </w:p>
    <w:p>
      <w:r>
        <w:rPr>
          <w:b/>
        </w:rPr>
        <w:t>E. 4.4</w:t>
      </w:r>
    </w:p>
    <w:p>
      <w:r>
        <w:t>Hinzu kommt die Tatsache, dass der Beschwerdeführer bei der BzP ausgesagt hat, er habe im Zeitpunkt seiner Festnahme durch die Polizei fast die Hälfte des Geldes verteilt. Danach habe die Polizei das verbliebene Geld beziehungsweise die Hälfte davon konfisziert (vgl. Beschwerde S. 3 III. A. und act. A8/12 S. 7/8 Ziff. 7.01). Bei der Bundesanhörung erklärte er demgegenüber, er (beziehungsweise weitere Wahlhelfer) hätten "alles Geld verteilt, wie es kalkuliert und abgemacht worden" sei (vgl. act. A29/20 S. 8 Abs. 2 F49). Auch dabei handelt es sich um einen essenziellen Punkt, bezüglich dessen vom Beschwerdeführer übereinstimmende Angaben hätten erwartet werden dürfen.</w:t>
      </w:r>
    </w:p>
    <w:p>
      <w:r>
        <w:rPr>
          <w:b/>
        </w:rPr>
        <w:t>E. 4.5</w:t>
      </w:r>
    </w:p>
    <w:p>
      <w:r>
        <w:t>Der Beschwerdeführer erklärte weiter, er sei unzählige Male telefonisch bedroht worden, wobei es "immer um ein und dieselbe Sache", nämlich die Rückerstattung der verteilten Wahlgelder, gegangen sei (vgl. act. A29/20 S. 11 F63 bis 66). Dabei mutet im Gesamtzusammenhang freilich seltsam an, dass die Anrufer dem Beschwerdeführer nach seinen eigenen Angaben weder die Höhe des zurückzuerstattenden Geldes noch irgendwelche Details, wo und wem er dieses übergeben solle, genannt haben sollten (vgl. act. A29/20 S. 11 f. F70 f. und F76). Angesichts des Gesagten vermag auch der Erklärungsversuch des Beschwerdeführers, die Anrufer hätten vielleicht gar kein Geld von ihm gewollt, sondern ihn einfach für irgendeinen Fall beschuldigen, ihn bestrafen oder seine Familie als Geiseln nehmen wollen (vgl. act. A29/20 S. 12 F76 und 78), nicht zu überzeugen, ansonsten die Anrufer wohl direkt entsprechende Drohungen geäussert hätten. Vielmehr mutet letztere Entgegnung des Beschwerdeführers eher als unbedarfter Versuch an, die angesprochene Ungereimtheit nachträglich in einem verständlichen Licht erscheinen zu lassen.</w:t>
      </w:r>
    </w:p>
    <w:p>
      <w:r>
        <w:rPr>
          <w:b/>
        </w:rPr>
        <w:t>E. 4.6</w:t>
      </w:r>
    </w:p>
    <w:p>
      <w:r>
        <w:t>Schliesslich bleibt anzumerken, dass die Beschwerdeführenden zwar übereinstimmend angaben, sie hätten nach dem Überfall vom 25. Juli 2017 eine Polizeianzeige gemacht (vgl. act. A28/12 S. 7 F53 f. und act. A29/20 S. 15 F105 bis 107), im Verlaufe ihres Asylverfahrens in der Schweiz indessen keinerlei Dokumente einreichten, die ihre Verfolgungsvorbringen belegen könnten.</w:t>
      </w:r>
    </w:p>
    <w:p>
      <w:r>
        <w:rPr>
          <w:b/>
        </w:rPr>
        <w:t>E. 4.7</w:t>
      </w:r>
    </w:p>
    <w:p>
      <w:r>
        <w:t>Aus dem Gesagten ergibt sich, dass das SEM die Asylgesuche der Beschwerdeführenden und ihrer Kinder zu Recht abgelehnt hat. Angesichts der vorstehenden Ausführungen erweist sich auch die Behauptung in der Beschwerde, die Vorinstanz habe eine einseitige Gewichtung ihrer ausführlichen Aussagen zu ihren Ungunsten vorgenommen und damit ihr rechtliches Gehör verletzt, als unbegründet, weshalb der diesbezügliche Kassationsantrag (a.a.O. S. 7 IV.) abzuweisen ist. Damit ist gleichzeitig gesagt, dass es den Beschwerdeführenden nicht gelungen ist, die Regelvermutung, dass in der Mongolei eine flüchtlingsrechtlich bedeutsame staatliche Verfolgung nicht stattfindet und der behördliche Schutz vor nichtstaatlicher Verfolgung (für alle Bevölkerungsschichten) gewährleistet ist, umzustossen.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wären.</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Im Heimatstaat des Beschwerdeführenden liegt keine Situation von allgemeiner Gewalt vor, aufgrund derer die Zivilbevölkerung generell als konkret gefährdet bezeichnet werden müsste.</w:t>
      </w:r>
    </w:p>
    <w:p>
      <w:r>
        <w:rPr>
          <w:b/>
        </w:rPr>
        <w:t>E. 6.3.2</w:t>
      </w:r>
    </w:p>
    <w:p>
      <w:r>
        <w:t>Hinsichtlich der persönlichen Situation des Beschwerdeführers bleibt festzuhalten, dass dieser eigenen Angaben zufolge unter gesundheitlichen Problemen leidet. So sei er im Januar 2017 in seiner Heimat (...) operiert worden. Ausserdem habe er (...)probleme, die in seiner Heimat jedoch nicht behandelt worden seien, da sich die dortigen Ärzte primär um sein (...) gekümmert hätten (vgl. act. A8/12 S. 9 Ziff. 8.02). Ausserdem müsse er täglich zwei verschiedene Medikamente einnehmen (vgl. Sachverhalt Bst. A.e). Der Beschwerdeführer reichte indessen bis anhin keinerlei medizinische Unterlagen hinsichtlich der geltend gemachten medizinischen Probleme ein. Vielmehr holte er ein an ihn adressiertes entsprechendes Aufforderungsschreiben des SEM vom 13. Juni 2019 nicht ab, worauf dieses von der Post mit dem Vermerk "Nicht abgeholt" an die Vorinstanz retourniert wurde. Der Beschwerdeführer beteuert nun in seiner Beschwerde, er habe den Abholschein damals zwar im Briefkasten gesehen, aber für Werbung gehalten und deshalb nicht beachtet. Tatsächlich sei er schwer (...)krank. Sein Hausarzt Dr. med. J._______ weile aktuell noch bis am 4. August 2019 in den Ferien, wobei er ihn nach seiner Rückkehr unverzüglich darum bitten werde, einen Gesundheitsbericht zuhanden des Bundesverwaltungsgerichts zu verfassen. Deshalb werde um eine diesbezügliche Fristerstreckung ersucht (a.a.O. S. 6 f. III.). Vorab bleibt festzuhalten, dass der Beschwerdeführer durch die Nichtabholung des Schreibens des SEM vom 13. Juni 2019 seine Mitwirkungspflicht verletzt hat. Seine Behauptung in der Beschwerde, er habe den Abholschein damals zwar gesehen, aber für Werbung gehalten, vermag ihn in keiner Weise zu entlasten, musste ihm doch klar sein, dass er gehalten war, sich den Behörden während seines hängigen Asylverfahrens jederzeit zur Verfügung zu halten beziehungsweise entsprechende an ihn gerichtete Korrespondenz zu beantworten. Darüber hinaus deutet auch die Tatsache, dass der Beschwerdeführer im Verlaufe seines nunmehr beinahe zwei Jahre währenden Asylverfahrens in der Schweiz keinerlei Unterlagen zu seinem Gesundheitszustand eingereicht hat, darauf hin, dass dieser nicht gravierend zu sein scheint. Ausserdem bestätigt die Tatsache, dass der Beschwerdeführer sich in Ulaanbaatar einer (...)operation unterziehen konnte, die vorinstanzliche Einschätzung in der angefochtenen Verfügung, dass die medizinische Infrastruktur in der Mongolei, insbesondere in Ulaanbaatar, ausreichend ist, um allfällige gesundheitliche Probleme des Beschwerdeführers angemessen zu behandeln. Vor dem Hintergrund des Gesagten ist der Antrag des Beschwerdeführers auf Ansetzung einer Nachfrist zur Einreichung eines ärztlichen Berichts abzuweisen. Es ist aber darauf hinzuweisen, dass er gegebenenfalls zusätzlich medizinische Rückkehrhilfe (vgl. Art. 93 Abs. 1 Bst. d AsylG i.V.m. Art. 75 der Asylverordnung 2 vom 11. August 1999 [AsylV 2, SR 142.312]) sowohl in Form von Medikamenten als auch in Bargeld beantragen kann.</w:t>
      </w:r>
    </w:p>
    <w:p>
      <w:r>
        <w:rPr>
          <w:b/>
        </w:rPr>
        <w:t>E. 6.3.3</w:t>
      </w:r>
    </w:p>
    <w:p>
      <w:r>
        <w:t>Im Weiteren verfügen die Beschwerdeführenden beide über eine berufliche Ausbildung ([...] beziehungsweise [...]) und über ein soziales Beziehungsnetz (vgl. act. A29/20 S. 4 F23 f. und act. A28/12 S. 3 f. F11 bis F26, weshalb davon auszugehen ist, dass dieses sie dabei unterstützen kann, sich in ihrer Heimat eine neue Existenz zu schaffen.</w:t>
      </w:r>
    </w:p>
    <w:p>
      <w:r>
        <w:rPr>
          <w:b/>
        </w:rPr>
        <w:t>E. 6.3.4</w:t>
      </w:r>
    </w:p>
    <w:p>
      <w:r>
        <w:t>In Bezug auf das Kindeswohl bleibt mit der Vorinstanz festzustellen, dass die beiden Kinder aktuell in einem Alter sind, wo die Bindung zu den Eltern noch ausgeprägt ist. Ferner sind zwei Jahre Aufenthalt in der Schweiz als nicht lange genug zu bezeichnen, um unter dem Aspekt des Kindeswohls ein Bleiberecht in der Schweiz zu begründen (vgl. Verfügung des SEM vom 10. Juli 2019 S. 7/8). Ausserdem sind die Kinder aufgrund der Aktenlage gesund.</w:t>
      </w:r>
    </w:p>
    <w:p>
      <w:r>
        <w:rPr>
          <w:b/>
        </w:rPr>
        <w:t>E. 6.3.5</w:t>
      </w:r>
    </w:p>
    <w:p>
      <w:r>
        <w:t>Nach dem Gesagten erweist sich der Vollzug der Wegweisung der Beschwerdeführenden und ihrer beiden Kinder auch als zumutbar.</w:t>
      </w:r>
    </w:p>
    <w:p>
      <w:r>
        <w:rPr>
          <w:b/>
        </w:rPr>
        <w:t>E. 6.4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Die Anordnung der vorläufigen Aufnahme fällt somit ausser Betracht (Art. 83 Abs. 1 - 4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8.1</w:t>
      </w:r>
    </w:p>
    <w:p>
      <w:r>
        <w:t>Aufgrund der angestellten Erwägungen hat sich die Beschwerde als aussichtslos erwiesen. Somit ist das Gesuch um Gewährung der unentgeltlichen Prozessführung abzuweisen. Durch den Direktentscheid in der Sache ist das Gesuch um Verzicht auf die Erhebung eines Kostenvorschusses gegenstandslos geworden.</w:t>
      </w:r>
    </w:p>
    <w:p>
      <w:r>
        <w:rPr>
          <w:b/>
        </w:rPr>
        <w:t>E. 8.2</w:t>
      </w:r>
    </w:p>
    <w:p>
      <w:r>
        <w:t>Als Folge der Abweisung der Beschwerde sind die Kosten des Verfahrens den Beschwerdeführenden aufzuerlegen (Art. 63 Abs. und 5 VwVG). Die Kosten sind auf Fr. 750.- festzusetzen (Art. 1-3 des Reglements vom 21. Februar 2008 über die Kosten und Entschädigungen vor dem Bundesverwaltungsgericht [VGKE, SR 173.320.2] i.V.m. Art. 16 Abs. 1 Bst. a VGG).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