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D-3678/2006 vom 25. Juni 2009</w:t>
      </w:r>
    </w:p>
    <w:p>
      <w:r>
        <w:t>Bundesverwaltungsgericht, 2009-06-25, DE</w:t>
      </w:r>
    </w:p>
    <w:p>
      <w:r>
        <w:rPr>
          <w:b/>
        </w:rPr>
        <w:t xml:space="preserve">Quelle: </w:t>
      </w:r>
      <w:r>
        <w:t>https://mcp.opencaselaw.ch/entscheid/bvger_D-3678_2006</w:t>
      </w:r>
    </w:p>
    <w:p>
      <w:r>
        <w:t>FR: TAF D-3678/2006 du 25 juin 2009</w:t>
      </w:r>
    </w:p>
    <w:p>
      <w:r>
        <w:t>IT: TAF D-3678/2006 del 25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Art. 50 ff.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qualifizierte die vom Beschwerdeführer geltend gemachte Diskriminierung, wonach ihm der Zugang zu einem Universitätsstudium verweigert worden sei, weil sein Bruder zum Christentum konvertiert habe und deshalb hingerichtet worden sei, als nicht alsyrelevant.</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w:t>
      </w:r>
    </w:p>
    <w:p>
      <w:r>
        <w:rPr>
          <w:b/>
        </w:rPr>
        <w:t>E. 4.3</w:t>
      </w:r>
    </w:p>
    <w:p>
      <w:r>
        <w:t>Auch wenn dem Beschwerdeführer aufgrund der Konversion seines Bruders tatsächlich der Zugang zu einem Universitätsstudium verweigert worden sein sollte, handelt es sich dabei nicht um einen ernsthaften Nachteil im Sinne von Art. 3 AsylG, wurden dem Beschwerdeführer dadurch doch nicht sämtliche Möglichkeiten genommen, sich mittels einer Ausbildung eine ausreichende wirtschaftliche Grundlage zu schaffen. So war es ihm insbesondere möglich, anstelle eines Universitätsstudiums eine Akupunktur-Ausbildung zu absolvieren (act. A 13/25, S. 9). In Übereinstimmung mit der Vorinstanz ist zudem festzuhalten, dass es an einem zeitlichen und sachlichen Kausalzusammenhang zwischen diesem angeblich erlittenen Nachteil und der Ausreise im August 2003 fehlt, weshalb die Asylrelevanz dieses Vorbringens auch aus diesem Grund zu verneinen ist. Im Weiteren ist festzuhalten, dass die Erwägungen der Vorinstanz, soweit sie sich zum verbotenen Besitz einer Parabolantenne und eines Radios äussern, nicht zu beanstanden und zu bestätigen sind (vgl. Bst. B vorstehend).</w:t>
      </w:r>
    </w:p>
    <w:p>
      <w:r>
        <w:rPr>
          <w:b/>
        </w:rPr>
        <w:t>E. 4.4</w:t>
      </w:r>
    </w:p>
    <w:p>
      <w:r>
        <w:t>Der Beschwerdeführer macht als weiteren Asylgrund geltend, er sei von F._______, einem Mitarbeiter des Nachrichtendienstes, verfolgt und auf dessen Geheiss hin inhaftiert sowie misshandelt worden, da dieser seine Frau habe heiraten wollen. Die Vorinstanz hat dieses Vorbringen als nicht asylbeachtlich erachtet. Da gewisse Aussagen des Beschwerdeführers widersprüchlich, unplausibel oder unglaubhaft erscheinen, wird dieser vorgebrachte Asylgrund vom Gericht in der Folge gestützt auf Art. 7 AsylG beurteilt (vgl. Bstn. K, L vorstehend).</w:t>
      </w:r>
    </w:p>
    <w:p>
      <w:r>
        <w:rPr>
          <w:b/>
        </w:rPr>
        <w:t>E. 4.5</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1996 Nr. 27 E. 3c.aa S. 263 f.; EMARK Nr. 28 E. 3a S. 270).</w:t>
      </w:r>
    </w:p>
    <w:p>
      <w:r>
        <w:rPr>
          <w:b/>
        </w:rPr>
        <w:t>E. 4.6.1</w:t>
      </w:r>
    </w:p>
    <w:p>
      <w:r>
        <w:t>Nach Prüfung der Akten stellt das Gericht fest, dass sich der Beschwerdeführer teilweise erheblich widersprochen hat. So machte er in der Rechtsmittelschrift vom 7. Oktober 2004 geltend, er sei nach seiner Haftentlassung am 4. August 2003 von einem Soldaten begleitet worden und diesem auf dem Friedhof entkommen, demgegenüber er bei der Anhörung weder die Existenz des Soldaten noch die Flucht auf dem Friedhof erwähnte (act. A 13/25, S. 13). Die Begründung des Beschwerdeführers in der Rechtsmittelschrift, wonach er den Soldaten bei der Anhörung nicht erwähnt habe, weil er nicht konkret danach gefragt worden sei, vermag nicht zu überzeugen, weil er ein derart zentrales Element seiner Asylgesuchsbegründung unaufgefordert hätte vorbringen müssen. Zudem sagte der Beschwerdeführer anlässlich der Kurzbefragung aus, er habe den gefälschten Reisepass, mit dem er von Instanbul nach Rom gereist sei, nie in den Händen gehalten (act. A 1/9, S. 6), wohingegen er bei der Anhörung erklärte, er habe den Reisepass erst am Flughafen erhalten (act. A 13/25, S. 19). Zweifel an den Vorbringen des Beschwerdeführers weckt auch der Umstand, dass er anlässlich der Anhörung geltend machte, er sei am 4. August 2003 um zehn Uhr aus dem Gefängnis entlassen worden und hätte sich gemäss Haftentlassungsschein um fünfzehn Uhr wieder dort melden müssen (act. A 13/25, S. 13, 17), wohingegen aus dem vom Beschwerdeführer eingereichten Haftentlassungsschein vom 4. August 2003 ersichtlich ist, dass lediglich für zwei Stunden die Erlaubnis erteilt worden war, das Gefängnis zu verlassen. Unglaubhaft erscheint zudem die Aussage des Beschwerdeführers, wonach er vor dem Abflug in Istanbul nach Rom seinen ihm vom Schlepper ausgehändigten Pass nicht richtig angeschaut und nicht einmal den im Pass enthaltenen Namen gewusst habe, da er dazu keine Lust gehabt habe (act. A 13/25, S. 19). Da die Begleitumstände der Flucht ein einschneidendes Erlebnis darstellen, ist das geltend gemachte Desinteresse nicht nachvollziehbar. Unplausibel ist die behauptete Geschichte mit F._______ auch deshalb, weil der Beschwerdeführer in die Scheidung von seiner Ehefrau eingewilligt haben will, obwohl für ihn gemäss eigenen Angaben daraus kein Vorteil resultiert hat (act. A 13/25, S. 16). Gegen die Glaubhaftigkeit der Vorbringen des Beschwerdeführers spricht überdies seine Aussage, wonach seine Ehefrau ihm erst nach der Hochzeit gesagt haben soll, F._______ arbeite beim Nachrichtendienst (act. A 13/25, S. 17), da gemäss eigenen Aussagen des Beschwerdeführers die Menschen im Iran schon Angst bekämen, wenn sie das Wort Nachrichtendienst nur hören würden (act. A 13/25, S. 16), weshalb vielmehr zu erwarten gewesen wäre, die Ehefrau des Beschwerdeführers hätte ihn in einem früheren Zeitpunkt darüber informiert. Im Weiteren ist festzustellen, dass die Ausführungen des Beschwerdeführers zu seinem fünf monatigen Gefängnisaufenthalt im Jahre 2003 wenig detailliert ausgefallen sind (act. A 13/25, S. 12), was darauf hindeutet, dass der Beschwerdeführer bei seinen Erzählungen nicht auf tatsächlich Erlebtes zurückgreifen konnte. Der Beschwerdeführer hat es unterlassen, echte Reise- oder Identitätspapiere einzureichen (vgl. dazu BVGE 2007/7). Deshalb steht die Identität des Beschwerdeführers nicht mit Sicherheit fest, was aber für die Überprüfung der Aussagen, der Dokumente und die Asylgewährung grundsätzlich Voraussetzung ist. Folglich steht auch nicht fest, dass sich der vom Beschwerdeführer mit der Beschwerdeschrift eingereichte Haftentlassungsschein auf seine Person bezieht. Dies umso mehr, als der Beschwerdeführer den auf dem Haftentlassungsschein aufgeführten Namen selber eingefügt hat, was die Zweifel noch zusätzlich verstärkt. Im Übrigen vermag der Einwand des Beschwerdeführers, mit dem Tod des Vaters und der Mutter verfüge er über keine Familienangehörige mehr, welche ihn mit (neuen) Identitätsausweisen beliefern könnten, nicht zu überzeugen, zumal nicht anzunehmen ist, er verfüge im Iran über gar keine Verwandten oder Bekannten mehr.</w:t>
      </w:r>
    </w:p>
    <w:p>
      <w:r>
        <w:rPr>
          <w:b/>
        </w:rPr>
        <w:t>E. 4.6.2</w:t>
      </w:r>
    </w:p>
    <w:p>
      <w:r>
        <w:t>Zusammenfassend ergibt sich, dass die Vorbringen des Beschwerdeführers, wonach er von einem Mitarbeiter des Nachrichtendienstes verfolgt und auf dessen Geheiss hin inhaftiert und misshandelt worden sei, da dieser seine Frau habe heiraten wollen, als nicht überwiegend wahrscheinlich und somit als nicht glaubhaft im Sinne von Art. 7 AsylG zu erachten sind. Vielmehr ist davon auszugehen, dass es sich bei der behaupteten Verfolgungssituation durch F._______ lediglich um ein Konstrukt des Beschwerdeführers handelt. An dieser Einschätzung ändert auch nichts, dass im ärztlichen Bericht vom 4. März 2008 des behandelnden Psychiaters des Beschwerdeführers festgehalten wird, dass Letzterer aufgrund seiner Gewalterfahrung in seinem Heimatland, insbesondere im Rahmen seines Gefängnisaufenthaltes, an einer komplexen posttraumatischen Belastungsstörung mit bereits bestehenden posttraumatischen Persönlichkeitsveränderungen sowie wiederkehrenden depressiven Phasen mit Suizidalität leide. Vorliegend wird eine allfällige Traumatisierung des Beschwerdeführers seitens des Bundesverwaltungsgerichts nicht in Abrede gestellt. Was indes die Feststellbarkeit der Ursachen einer Traumatisierung betrifft, so hat die ehemalige ARK bereits im Jahre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(MARTIN LEONHARDT/KLAUS FOERSTER, Probleme bei der Begutachtung der posttraumatischen Belastungsstörung, in: Der medizinische Sachverständige 99 {2003}, S. 151). Die beim Beschwerdeführer diagnostizierte posttraumatische Belastungsstörung bildet keinen Hinweis für asylrechtlich relevante Ereignisse (vgl. auch Urteil des Bundesverwaltungsgerichts D-5266/2006 vom 29. Januar 2008 E. 3.4 S. 11), zumal, wie bereits dargelegt wurde, die Asylvorbringen des Beschwerdeführers weitgehend als unglaubhaft zu erachten sind. Bei dieser Sachlage sind den eingereichten medizinischen Unterlagen keine stichhaltigen Hinweise für eine mit überwiegender Wahrscheinlichkeit bestehende asylrelevante Verfolgung zu entnehmen, da die Ursachen der diagnostizierten posttraumatischen Belastungsstörung nicht zweifelsfrei erurierbar sind. Auch die mit der Rechtsmittelschrift eingereichten Fotos vermögen keine asylrelevante Verfolgung des Beschwerdeführers glaubhaft darzulegen, zumal diese höchstens zu belegen vermögen, dass sein Körper Verletzungswunden aufgewiesen hat, jedoch keine Auskunft darüber geben, wann, wo oder in welchem Zusammenhang diese Wunden entstanden sind.</w:t>
      </w:r>
    </w:p>
    <w:p>
      <w:r>
        <w:rPr>
          <w:b/>
        </w:rPr>
        <w:t>E. 4.7.1</w:t>
      </w:r>
    </w:p>
    <w:p>
      <w:r>
        <w:t>In der Eingabe vom 15. Dezember 2008 machte der Beschwerdeführer überdies geltend, er habe in der Schweiz an Kundgebungen der iranischen Opposition teilgenommen. Er beruft sich damit implizit auf subjektive Nachfluchtgründe gemäss Art. 54 AsylG.</w:t>
      </w:r>
    </w:p>
    <w:p>
      <w:r>
        <w:rPr>
          <w:b/>
        </w:rPr>
        <w:t>E. 4.7.2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Massgeblich ist, ob die iranischen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4.7.3</w:t>
      </w:r>
    </w:p>
    <w:p>
      <w:r>
        <w:t>Auch unter der Annahme, dass der Beschwerdeführer tatsächlich in der Schweiz an Kundgebungen der iranischen Opposition teilgenommen hat, geht das Bundesverwaltungsgericht - wie nachfolgend ausgeführt wird - davon aus, dass vorliegend insgesamt keine subjektiven Nachfluchtgründe bestehen, die bei einer Rückkehr des Beschwerdeführers in den Iran zu einer für die Flüchtlingseigenschaft relevanten Verfolgung führen.</w:t>
      </w:r>
    </w:p>
    <w:p>
      <w:r>
        <w:rPr>
          <w:b/>
        </w:rPr>
        <w:t>E. 4.7.4</w:t>
      </w:r>
    </w:p>
    <w:p>
      <w:r>
        <w:t>Vorab ist allgemein weiterhin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Der soeben dargelegte Exponierungsgrad kann dem Beschwerdeführer unter Berücksichtigung der von ihm in der Schweiz angeblich ausgeübten exilpolitischen Aktivitäten nicht beigemessen werden, zumal er sich nicht einmal zu erinnern vermag, wann und wo die Veranstaltungen stattgefunden haben, weshalb eine konkrete Gefährdung des Beschwerdeführers bei einer Rückkehr in den Iran auszuschliessen ist.</w:t>
      </w:r>
    </w:p>
    <w:p>
      <w:r>
        <w:rPr>
          <w:b/>
        </w:rPr>
        <w:t>E. 4.7.5</w:t>
      </w:r>
    </w:p>
    <w:p>
      <w:r>
        <w:t>Zusammenfassend ist festzuhalten, dass von einer in flüchtlingsrechtlicher Hinsicht fehlenden politischen Exponiertheit des Beschwerdeführers auszugehen ist. So reicht eine (potenzielle) Identifizierbarkeit als exilpolitischer Aktivist nicht aus, um daraus abzuleiten, er werde deswegen bei einer Rückkehr in den Iran verfolgt. Vor allem sind keine Hinweise aktenkundig, wonach er in der Schweiz in einer hohen und in der Öffentlichkeit exponierten Kaderstelle einer Exilorganisation tätig (gewesen) wäre. Im Weiteren fehlt es an einem Beleg, wonach gegen den Beschwerdeführer aufgrund seiner Aktivitäten im Iran ein Strafverfahren oder andere behördliche Massnahmen eingeleitet worden wären (vgl. zur Möglichkeit der Eröffnung von Strafverfahren in Abwesenheit SFH, a.a.O., S. 10, mit weiteren Hinweisen).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w:t>
      </w:r>
    </w:p>
    <w:p>
      <w:r>
        <w:rPr>
          <w:b/>
        </w:rPr>
        <w:t>E. 5</w:t>
      </w:r>
    </w:p>
    <w:p>
      <w:r>
        <w:t>Aufgrund der vorstehenden Erwägungen erübrigt es sich, auf die weiteren Ausführungen in der Beschwerde im Einzelnen einzugehen, weil sie am Ergebnis nichts ändern. Desgleichen erübrigt es sich, weitere Beweise zu erheben oder den Beschwerdeführer nochmals anzuhören. Unter Berücksichtigung der gesamten Umstände folgt, dass der Beschwerdeführer keine Gründe nach Art. 3 AsylG nachweisen oder glaubhaft machen konnte. Das Bundesamt hat sein Asylgesuch im Ergebnis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möglich, nicht zulässig oder nicht zumutbar, so regelt das Bundesamt gemäss Art. 44 Abs. 2 AsylG das Anwesenheitsverhältnis nach den gesetzlichen Bestimmungen über die vorläufige Aufnahme nach dem Bundesgesetz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nach den vorstehenden Erwägungen nicht gelungen. Auch die allgemeine Menschenrechtssituation im Iran lässt den Wegweisungsvollzug zum heutigen Zeitpunkt nicht als unzulässig erscheinen.</w:t>
      </w:r>
    </w:p>
    <w:p>
      <w:r>
        <w:rPr>
          <w:b/>
        </w:rPr>
        <w:t>E. 7.2.3</w:t>
      </w:r>
    </w:p>
    <w:p>
      <w:r>
        <w:t>Was die mit verschiedenen Arztberichten diagnostizierten psychischen Probleme des Beschwerdeführers anbelangt, ist festzuhalten, dass der Europäische Gerichtshof für Menschenrechte (EGMR) in seinem Urteil vom 20. März 1991 2001 i.S. Cruz Varas gegen Schweden (Beschwerde Nr. 46/1990/237307) entschieden hat, dass der Vollzug der "Ausweisung" von Personen, die an einer posttraumatischen Belastungsstörung leiden beziehungsweise suizidgefährdet sind, nicht gegen Art. 3 EMRK verstösst (vgl. a.a.O., E. 44, 45, 46, insbesondere 77-86). Der Gerichtshof hat diese Praxis im Unzulässigkeitsentscheid vom 29. Juni 2004 i.S. Salkic in Bezug auf die posttraumatische Belastungsstörung bestätigt (vgl. Unzulässigkeitsentscheid des EGMR vom 29. Juni 2004 i.S. Salkic und andere gegen Schweden, Nr. 7702/04, 3, 8-11 [englischer Text]). Es wird geltend gemacht, dass der Beschwerdeführer Suizidgedanken hegt, die sich verstärken würden, falls seinem Asylgesuch nicht stattgegeben würde (vgl. ärztlicher Bericht vom 4. März 2008, S. 2). Drohen Ausländer für den Fall des Vollzuges des Wegweisungsentscheides mit Suizid, so ist nach dem EGMR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Suizidalität des Beschwerdeführers ist deshalb durch Heranziehen von medizinischem Fachpersonal bei der Ausschaffung Rechnung zu tragen. Die gesundheitlichen Probleme des Beschwerdeführers stellen selbst dann unter dem Blickwinkel von Art. 3 EMRK kein völkerrechtliches Vollzugshindernis dar, falls im Iran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Urteil des EGMR vom 27. Mai 2008 i.S. N. gegen Vereinigtes Königreich [Grossbritannien], Beschwerde Nr. 26565/05, Ziff. 43, 44). Vielmehr steht fest, dass der Beschwerdeführer in seinem Heimatland auf die dort bestehenden und nach Kenntnis des Bundesverwaltungsgerichts als ausreichend zu bezeichnenden psychiatrischen Behandlungsinstitutionen zurückgreifen kann. Vor diesem Hintergrund ist der Vollzug der Wegweisung des Beschwerdeführers in Beachtung der massgeblichen völker- und landesrechtlichen Bestimmungen als zulässig zu bezeichnen. Überdies lässt sich die Frage der Reisefähigkeit - welche in den eingereichten ärztlichen Berichten offengelassen wurde - im vorliegenden Verfahren letztendlich nur im Rahmen des tatsächlichen Vollzugs konkret überprüfen.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Vorliegend ist der Vollzug als zumutbar zu erachten, weil keine Hinweise dafür erkennbar sind, der Beschwerdeführer wäre bei einer Rückkehr in den Iran einer konkreten Gefährdung ausgesetzt. Das Bundesverwaltungsgericht erachtet den Wegweisungsvollzug in den Iran gestützt auf die allgemeine Lage als generell zumutbar, da die Auseinandersetzungen nach den Präsidentschaftswahlen lokal beschränkt sind.</w:t>
      </w:r>
    </w:p>
    <w:p>
      <w:r>
        <w:rPr>
          <w:b/>
        </w:rPr>
        <w:t>E. 7.3.3</w:t>
      </w:r>
    </w:p>
    <w:p>
      <w:r>
        <w:t>Der Beschwerdeführer wohnte seit seiner Kindheit bis zu seiner Ausreise aus seinem Heimatland in E._______, wo gemäss seinen eigenen Aussagen auch ein Onkel von ihm lebt. Aufgrund der unglaubhaften Aussagen des Beschwerdeführers im Zusammenhang mit der geltend gemachten Verfolgung durch einen Mitarbeiter des Nachrichtendienstes ist zudem davon auszugehen, dass weder sein Vater im Gefängnis gestorben ist noch seine Frau sich umgebracht hat. Es ist daher zu schliessen, dass der Beschwerdeführer bei seiner Rückkehr in den Iran ein soziales Netz vorfinden wird. Ausserdem verfügt der Beschwerdeführer über einen Mittelschulabschluss, zudem hat er eine Ausbildung als Akupunkteur abgeschlossen. Sodann hat er in den letzten Jahren in der Schweiz ein Kunsthandwerk ausgeübt, weshalb ihm auch aus diesen Gründen die Wiedereingliederung möglich sein dürfte.</w:t>
      </w:r>
    </w:p>
    <w:p>
      <w:r>
        <w:rPr>
          <w:b/>
        </w:rPr>
        <w:t>E. 7.3.4</w:t>
      </w:r>
    </w:p>
    <w:p>
      <w:r>
        <w:t>Nach Auffassung des Bundesverwaltungsgerichts ist dem Beschwerdeführer die Rückkehr in den Iran zuzumuten. Wie der Erwägung 4.6.2 zu entnehmen ist, geht das Bundesverwaltungsgericht davon aus, dass das psychische Krankheitsbild des Beschwerdeführers nicht mit überwiegender Wahrscheinlichkeit auf die von ihm zur Begründung seines Asylgesuches als fluchtauslösend geschilderten Ereignisse zurückzuführen ist, sondern eine andere Ursache hat.</w:t>
      </w:r>
    </w:p>
    <w:p>
      <w:r>
        <w:rPr>
          <w:b/>
        </w:rPr>
        <w:t>E. 7.3.5</w:t>
      </w:r>
    </w:p>
    <w:p>
      <w:r>
        <w:t>Sollten sich beim Beschwerdeführer im Falle eines allfälligen zwangsweisen Vollzugs der Wegweisung suizidale Tendenzen akzentuieren, wäre dem mit geeigneten medikamentösen oder allenfalls auch psychotherapeutischen Massnahmen entgegen zu wirken, so dass für ihn eine konkrete Gefahr ernster gesundheitlicher Schäden auszuschliessen wäre. Im Übrigen ist davon auszugehen, dass der Beschwerdeführer bei seiner Rückkehr auf ein intaktes soziales Netz zurückgreifen kann. Der Beschwerdeführer hält sich zwar schon über fünf Jahre in der Schweiz auf, gleichwohl ist nicht festzustellen, dass er sich über die Massen in der Schweiz assimiliert hat. Eine Rückkehr des Beschwerdeführers in seinen angestammten Sprach- und Kulturkreis dürfte somit in mancherlei Hinsicht allgemein positive Folgen auf seine Lebenssituation und damit auch auf seine Gesundheit haben.</w:t>
      </w:r>
    </w:p>
    <w:p>
      <w:r>
        <w:rPr>
          <w:b/>
        </w:rPr>
        <w:t>E. 7.3.6</w:t>
      </w:r>
    </w:p>
    <w:p>
      <w:r>
        <w:t>Insgesamt ist nach dem Gesagten nicht davon auszugehen, die gesundheitlichen Probleme des Beschwerdeführers würden im Falle der freiwilligen Rückkehr in die Heimat beziehungsweise eines zwangsweisen Vollzugs der Wegweisung dorthin mangels ausreichender medizinischer Behandlungsmöglichkeiten eine drastische und lebensbedrohende Verschlechterung seines Gesundheitzustandes nach sich ziehen (vgl. EMARK 2004 Nr. 7 E. 5d, EMARK 2003 Nr. 24 E. 5b S. 157 f.). Letztere Bedingungen sind für den Beschwerdeführer nicht erfüllt, zumal es ihm zumutbar ist, für die Behandlung seiner Leiden auf die medizinische Infrastruktur seines Heimatlandes zurückzugreifen, was, wie oben unter Ziffer 7.2.3 der Erwägungen angeführt wurde, möglich ist. Schliesslich kann der Beschwerdeführer bei der Vorinstanz unter Vorlage entsprechender ärztlicher Atteste medizinische Rückkehrhilfe beantragen (Art. 93 Abs. 1 Bst. d AsylG i.V.m. Art. 75 der Asylverordnung 2 vom 11. August 1999 [AsylV 2, SR 142.312]). Das soeben ausgeführte gilt auch für die anlässlich der Anhörung vom Beschwerdeführer geltend gemachten Nierenprobleme, falls diese nach wie vor bestehen sollten. Im Übrigen sprechen auch keine anderen Gründe gegen die Zumutbarkeit des Wegweisungsvollzugs des Beschwerdeführers. Dieser erweist sich somit auch unter individuellen Aspekten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Da der Beschwerdeführer mit seiner Beschwerde vollumfänglich unterlegen ist, wären ihm grundsätzlich die Verfahrenskosten im Betrag von Fr. 600.-- aufzuerlegen (Art. 63 Abs. 1 und 5 VwVG).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