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D-3675/2023 vom 7. Juni 2023</w:t>
      </w:r>
    </w:p>
    <w:p>
      <w:r>
        <w:t>Bundesverwaltungsgericht, 2023-06-07, FR</w:t>
      </w:r>
    </w:p>
    <w:p>
      <w:r>
        <w:rPr>
          <w:b/>
        </w:rPr>
        <w:t xml:space="preserve">Quelle: </w:t>
      </w:r>
      <w:r>
        <w:t>https://mcp.opencaselaw.ch/entscheid/bvger_D-3675_2023_d20230607</w:t>
      </w:r>
    </w:p>
    <w:p>
      <w:r>
        <w:t>FR: TAF D-3675/2023 du 7 juin 2023</w:t>
      </w:r>
    </w:p>
    <w:p>
      <w:r>
        <w:t>IT: TAF D-3675/2023 del 7 giugno 2023</w:t>
      </w:r>
    </w:p>
    <w:p>
      <w:pPr>
        <w:pStyle w:val="Heading2"/>
      </w:pPr>
      <w:r>
        <w:t>Regeste</w:t>
      </w:r>
    </w:p>
    <w:p>
      <w:r>
        <w:t>Asile et renvoi (proc&amp;eacute;dure acc&amp;eacute;l&amp;eacute;r&amp;eacute;e) | Asile et renvoi (procédure accélérée); décision du SEM du 7 juin 2023</w:t>
      </w:r>
    </w:p>
    <w:p>
      <w:pPr>
        <w:pStyle w:val="Heading2"/>
      </w:pPr>
      <w:r>
        <w:t>Erwägungen</w:t>
      </w:r>
    </w:p>
    <w:p>
      <w:r>
        <w:rPr>
          <w:b/>
        </w:rPr>
        <w:t>E. 26</w:t>
      </w:r>
    </w:p>
    <w:p>
      <w:r>
        <w:t>mai 2023, Q. 11 à 16, p. 3) et dispose dans ce pays d’un réseau familial susceptible, si nécessaire, de lui venir en aide au moment de son retour (cf. ibidem, Q. 9, p. 2), que, quoi qu’il en soit,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ATAF 2008/34 consid. 12 et réf. cit.), dès lors qu’en vertu de l’art. 8 al. 4 LAsi, le recourant est tenu de collaborer à l’obtention des documents de voyage devant lui permettre de retourner dans son pays d’origine,</w:t>
      </w:r>
    </w:p>
    <w:p>
      <w:r>
        <w:t>D-3675/2023 Page 11 que pour le surplus, il peut être renvoyé aux considérants de la décision attaquée en matière d’exécution du renvoi (cf. décision querellée, point III, p. 5 s.), dès lors que ceux-ci sont suffisamment explicites et motivés, et que l’acte de recours ne contient pas d’arguments nouveaux et décisifs, aptes à en remettre en cause le bien-fondé (art. 109 al. 3 LTF, par renvoi de l’art. 4 PA), qu’aussi, le recours, en tant qu’il porte sur l’exécution du renvoi, doit également être rejeté et le dispositif de la décision entreprise confirmé sur ce point, que, s'avérant manifestement infondé, dit recours est rejeté dans une procédure à juge unique, avec l'approbation d'un seconde juge (art. 111 let. e LAsi), qu'il est dès lors renoncé à un échange d'écritures, le présent arrêt n'étant motivé que sommairement (art. 111a al. 1 et 2 LAsi), que, vu l’issue de la cause, il sied de mettre les frais de procédure, en l’occurrence arrêtés à 750 francs, à charge du recourant, conformément à l’art. 63 al. 1 PA et aux art. 2 et 3 let. a du règlement du 21 février 2008 concernant les frais, dépens et indemnités fixés par le Tribunal administratif fédéral (FITAF, RS 173.320.2),</w:t>
      </w:r>
    </w:p>
    <w:p>
      <w:r>
        <w:t>(dispositif page suivante)</w:t>
      </w:r>
    </w:p>
    <w:p>
      <w:r>
        <w:t>D-3675/2023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