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D-3675/2014 vom 3. Oktober 2014</w:t>
      </w:r>
    </w:p>
    <w:p>
      <w:r>
        <w:t>Bundesverwaltungsgericht, 2014-10-03, DE</w:t>
      </w:r>
    </w:p>
    <w:p>
      <w:r>
        <w:rPr>
          <w:b/>
        </w:rPr>
        <w:t xml:space="preserve">Quelle: </w:t>
      </w:r>
      <w:r>
        <w:t>https://mcp.opencaselaw.ch/entscheid/bvger_D-3675_2014</w:t>
      </w:r>
    </w:p>
    <w:p>
      <w:r>
        <w:t>FR: TAF D-3675/2014 du 3 octobre 2014</w:t>
      </w:r>
    </w:p>
    <w:p>
      <w:r>
        <w:t>IT: TAF D-3675/2014 del 3 ottobre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vorab verwiesen werden (vgl. BVGE 2010/57 E.2.2. und 2.3).</w:t>
      </w:r>
    </w:p>
    <w:p>
      <w:r>
        <w:rPr>
          <w:b/>
        </w:rPr>
        <w:t>E. 3.2.2</w:t>
      </w:r>
    </w:p>
    <w:p>
      <w:r>
        <w:t>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(vgl. Urteil des BVGer E-1917/2014 vom 21. Mai 2014 E 7.1.2 mit Verweis auf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BFM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4</w:t>
      </w:r>
    </w:p>
    <w:p>
      <w:r>
        <w:t>In der Rechtsmitteleingabe wird an der Glaubhaftigkeit und asylrechtlichen Relevanz der vom Beschwerdeführer geltend gemachten Verfolgungsvorbringen festgehalten.</w:t>
      </w:r>
    </w:p>
    <w:p>
      <w:r>
        <w:rPr>
          <w:b/>
        </w:rPr>
        <w:t>E. 4.1</w:t>
      </w:r>
    </w:p>
    <w:p>
      <w:r>
        <w:t>Der Beschwerdeführer rügt vorab sinngemäss die fehlende Professionalität des (...) Dolmetschers, der seine Vorbringen falsch oder verdreht übersetzt habe. Betreffend seine Ausführungen verweist er auf "andere Gesuchsteller aus Afghanistan" (insbesondere seiner Ethnie) und glaubt, das Ausgeführte belegen zu können, indem er auf einen vermeintlichen Fehler im Protokoll hinweist. Darin stehe, Taliban hätten bei seiner Familie zuhause gegessen, was lächerlich anmute, da die Taliban die Hazara wegen ihrer religiösen Zugehörigkeit als Schiiten verabscheuen und niemals bei ihnen essen würden. In Übereinstimmung mit der Vorinstanz kommt das Gericht zum Schluss, dass die vorgebrachte Rüge unbehelflich ist. Um unnötige Wiederholungen zu vermeiden, kann auf den vorinstanzlichen Entscheid sowie Bst. C vorstehend (Sachverhalt) verwiesen werden. Anlass zu Bemerkungen gibt auch der Umstand, dass der Beschwerdeführer seine als "Stellungnahme betreffend meine Anhörung in Basel" bezeichnete Eingabe vom 21. April 2014 erst knapp zweieinhalb Jahre nach der BzP vom 28. November 2011 zu den Akten reichte. Der allgemeinen Logik folgend hätte er diesen Vorwurf zu einem früheren Zeitpunkt vorbringen müssen, zumal der einzige konkret genannte angebliche Übersetzungsfehler dermassen augenfällig sei, dass er "für jemanden, der den afghanischen Kontext kennt, geradezu lächerlich" anmute. Die angeblichen Probleme von nicht namentlich genannten afghanischen Personen mit dem umstrittenen Dolmetscher vermögen ebenfalls nichts zugunsten des Beschwerdeführers zu bewirken, zumal sie sich in blossen Behauptungen erschöpfen. Diesbezüglich ist auf die stringenten Ausführungen des BFM in seiner Vernehmlassung vom 25. Juli 2014 zu verweisen.</w:t>
      </w:r>
    </w:p>
    <w:p>
      <w:r>
        <w:rPr>
          <w:b/>
        </w:rPr>
        <w:t>E. 4.2</w:t>
      </w:r>
    </w:p>
    <w:p>
      <w:r>
        <w:t>Der Beschwerdeführer räumt sodann ein, in Basel ein falsches Geburtsdatum genannt zu haben, was er zum heutigen Zeitpunkt nicht nachvollziehen könne. Trotzdem habe er seine Identität vor den Schweizer Behörden nicht verheimlichen wollen, weshalb er seinen vollen Namen ja von Anfang an genannt habe. Wie es zum falschen Eintrag in Chiasso gekommen sei, könne er sich nicht erklären. Der Beschwerdeführer nannte im Laufe des Verfahrens nicht nur drei, sondern insgesamt sogar vier unterschiedliche Geburtsdaten: Den 28. Ja-nuar 1996 (handschriftliche englische Übersetzung der Taskara), den 13. August 1996 (Ausgangsschein des BFM vom 17. November 2011), den 19. Juni 1995 (Anhörung) und schliesslich - im Rahmen des "Rapporto fermo di polizia" in Chiasso vom 5. November 2011, wo er sich als H._______ ausgab - , den 16. Januar 1988 (vgl. act. A4). Gemäss Art. 1 Abs. 1 Bst. a der Asylverordnung 1 vom 11. August 1999 (AsylV 1, SR 142.311) fällt unter den Identitätsbegriff auch das Geburtsdatum, womit der Einwand des Beschwerdeführers, er habe den Schweizer Behörden stets seinen richtigen Namen genannt, weshalb er seine "wahre Identität" nicht habe verschleiern wollen, selbst dann entkräftet würde, wenn er tatsächlich stets seinen richtigen Namen angegeben hätte (zum Identitätsbegriff und den erforderlichen Voraussetzungen vgl. BVGE 2007/7). Zudem gab er, nach einem Ausweisdokument befragt, an, er habe keine Möglichkeit, "mit Afghanistan" Kontakt aufzunehmen. Als ihm jedoch eröffnet wurde, dass er seine Minderjährigkeit nicht habe glaubhaft machen können, weshalb er für den Rest des Verfahrens als volljährig betrachtet werde, entgegnete er, dass er die "ID" auf Wunsch beschaffen könne (vgl. act. A5, S. 6 und 8). Indem er zunächst behauptete, die Taskara nicht beschaffen zu können, obwohl das offenbar im Rahmen seiner Möglichkeiten lag, verletzte er nachweislich seine Mitwirkungspflicht an der Feststellung des Sachverhalts gemäss Art. 8 Abs. 1 Bst. a AsylG. Zudem verstrickte er sich bezüglich seines Alters und auch im Übrigen in zu viele Widersprüche, als dass sich diese durch Übersetzungsfehler oder behördliche Ungenauigkeiten erklären liessen. So führte er beispielsweise zunächst aus, die Schule bis zu seiner Ausreise besucht zu haben, um dann geltend zu machen, die Schule habe schon im Jahr 2008 aufgrund von Angriffen durch die Taliban geschlossen werden müssen (vgl. act. A23, S. 8). Ferner führte er im Zusammenhang mit der Entführung seines Vaters aus, Angehörige der Taliban hätten gewusst, dass dieser ehemaliges Mitglied der E._______ gewesen sei, weil die Taliban, wie die meisten Bewohner in seiner Umgebung, Paschtunen seien. In der Beschwerde bringt er hingegen vor, dass die Dorfbewohner nicht als Spione für die Taliban tätig seien, sondern ihren täglichen Verrichtungen nachgingen, weshalb es einleuchte, dass die Taliban nicht gewusst hätten, dass er nicht zuhause gewesen sei. Den Ausführungen des Beschwerdeführers folgend, müssten die Taliban und Teile der Dorfbevölkerung bezüglich seines Vaters in einem Informationsaustausch gestanden haben, ihn betreffend jedoch nicht, was inkohärent ist und folglich nicht zu überzeugen vermag. Seltsam mutet denn auch an, dass es die Taliban aufgrund der angeblichen früheren Parteimitgliedschaft des Vaters lediglich auf ihn, nicht jedoch auf seinen Bruder und seine Schwester abgesehen haben sollen.</w:t>
      </w:r>
    </w:p>
    <w:p>
      <w:r>
        <w:rPr>
          <w:b/>
        </w:rPr>
        <w:t>E. 4.3</w:t>
      </w:r>
    </w:p>
    <w:p>
      <w:r>
        <w:t>Der Beschwerdeführer ist mittlerweile volljährig. In verfahrensrechtlicher Hinsicht spielt sein genaues Alter folglich keine Rolle mehr. Die formelle Echtheit und inhaltliche Richtigkeit der Taskara wären also allenfalls als Indiz für seine Glaubwürdigkeit von Interesse. Da er jedoch zu diversen Themen unstimmige und widersprüchliche Angaben machte, welche er, wie soeben ausgeführt, weder in seiner Rechtsmitteleingabe noch mittels der eingereichten Unterlagen auszuräumen vermag, bleibt die Taskara auch in diesem Kontext besehen von untergeordneter Bedeutung.</w:t>
      </w:r>
    </w:p>
    <w:p>
      <w:r>
        <w:rPr>
          <w:b/>
        </w:rPr>
        <w:t>E. 4.4</w:t>
      </w:r>
    </w:p>
    <w:p>
      <w:r>
        <w:t>Im Sinne des Ausgeführten und unter Würdigung der gesamten Umstände und Vorbringen des Beschwerdeführers ergibt sich, dass die Vorinstanz das Asylgesuch zu Recht abgelehnt hat.</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fremdenpolizeiliche Aufenthaltsbewilligung noch einen Anspruch auf Erteilung einer sol-chen. Die Wegweisung wurde demnach zu Recht angeordnet (Art. 44 AsylG; vgl. BVGE 2009/50 E. 9 S. 733 mit weiteren Hin­weisen).</w:t>
      </w:r>
    </w:p>
    <w:p>
      <w:r>
        <w:rPr>
          <w:b/>
        </w:rPr>
        <w:t>E. 6</w:t>
      </w:r>
    </w:p>
    <w:p>
      <w:r>
        <w:t>Das BFM hat in der angefochtenen Verfügung den Vollzug der angeordneten Wegweisung der Praxis des Bundesverwaltungsgerichts folgend (vgl. BVGE 2011/7, 2011/38 und 2011/49) wegen Unzumutbarkeit zu Gunsten einer vorläufigen Aufnahme aufgeschoben.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(ab- und weggewiesenen) Asylsuchenden wiederum die Beschwerde an das Bundesverwaltungsgericht offen, wobei in jenem Verfahren sämtliche drei Vollzugshindernisse von Amtes wegen und nach Massgabe der dannzumal herrschenden Verhältnisse von Neuem zu prüfen sind (vgl. BVGE 2009/51 E. 5.4).</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dem Beschwerdeführer aufzuerlegen (Art. 63 Abs. 1 und 5 VwVG). Nachdem das Gesuch um unentgeltliche Rechtspflege gestützt auf Art. 65 Abs. 1 VwVG gutgeheissen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