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D-3669/2019 vom 14. Oktober 2019</w:t>
      </w:r>
    </w:p>
    <w:p>
      <w:r>
        <w:t>Bundesverwaltungsgericht, 2019-10-14, FR</w:t>
      </w:r>
    </w:p>
    <w:p>
      <w:r>
        <w:rPr>
          <w:b/>
        </w:rPr>
        <w:t xml:space="preserve">Quelle: </w:t>
      </w:r>
      <w:r>
        <w:t>https://mcp.opencaselaw.ch/entscheid/bvger_D-3669_2019</w:t>
      </w:r>
    </w:p>
    <w:p>
      <w:r>
        <w:t>FR: TAF D-3669/2019 du 14 octobre 2019</w:t>
      </w:r>
    </w:p>
    <w:p>
      <w:r>
        <w:t>IT: TAF D-3669/2019 del 14 ottobre 2019</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A._______ a qualité pour recourir (art. 48 al. 1 PA, applicable par renvoi de l'art. 37 LTAF). Présenté dans la forme (art. 52 al. 1 PA) et dans le délai (art. 108 al. 1 LAsi) prescrits par la loi, le recours est recevable.</w:t>
      </w:r>
    </w:p>
    <w:p>
      <w:r>
        <w:rPr>
          <w:b/>
        </w:rPr>
        <w:t>E. 2.1</w:t>
      </w:r>
    </w:p>
    <w:p>
      <w:r>
        <w:t>À titre liminaire, il convient d'examiner le grief formel soulevé par l'intéressé (cf. ATF 138 I 232 consid. 5). En effet, à l'appui de son recours, le prénommé a invoqué une violation de son droit d'être entendu, en faisant grief au SEM de s'être contredit dans la motivation de sa décision, de sorte que celle-ci était incompréhensible. En tout état de cause, la motivation de l'autorité intimée serait, selon lui, insuffisante.</w:t>
      </w:r>
    </w:p>
    <w:p>
      <w:r>
        <w:rPr>
          <w:b/>
        </w:rPr>
        <w:t>E. 2.2</w:t>
      </w:r>
    </w:p>
    <w:p>
      <w:r>
        <w:t>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réf. cit. ; 133 III 235 consid. 5.2 et jurisp. cit. ; ATAF 2013/23 consid. 6.1.1).</w:t>
      </w:r>
    </w:p>
    <w:p>
      <w:r>
        <w:rPr>
          <w:b/>
        </w:rPr>
        <w:t>E. 2.3</w:t>
      </w:r>
    </w:p>
    <w:p>
      <w:r>
        <w:t>En l'occurrence, le Secrétariat d'Etat a conclu, dans sa décision, que les déclarations de A._______ « ne satisf[aisaie]nt pas aux conditions requises pour la reconnaissance de la qualité de réfugié selon l'art. 3 LAsi » et s'est ainsi « dispens[é] d'examiner leur vraisemblance » (cf. décision du 9 juillet 2019, p. 4). S'il a certes retenu que le prénommé n'avait pas « rendu crédible l'existence d'une crainte de persécution actuelle pour un des motifs déterminants en matière d'asile » (cf. ibidem) - des termes qui peuvent prêter à confusion -, il ne saurait être admis que sa « décision présente ainsi une contradiction interne, qui ne peut être éliminée, ou à tout le moins une ambiguïté irrémédiable », tel que soutenu à l'appui du recours (cf. recours du 18 juillet 2019, p. 5). En effet, il ressort des considérants de la décision attaquée que l'argumentation du SEM est basée « sur l'absence d'éléments suffisants à établir une crainte fondée de persécution », comme il l'a rappelé dans sa réponse (cf. réponse du 15 août 2019, p. 1). C'est également à juste titre que l'autorité intimée a expliqué que les « réserves exprimées quant à la vraisemblance de certains événements (...) s'ajout[ai]ent subsidiairement à un cumul d'éléments qui aboutit à l'absence de crainte fondée » (cf. ibidem).</w:t>
      </w:r>
    </w:p>
    <w:p>
      <w:r>
        <w:rPr>
          <w:b/>
        </w:rPr>
        <w:t>E. 2.4</w:t>
      </w:r>
    </w:p>
    <w:p>
      <w:r>
        <w:t>Par ailleurs, le recourant a reproché au SEM de ne pas avoir motivé sa décision s'agissant de sa crainte d'être exposé à des mesures déterminantes en matière d'asile, en cas de retour dans son pays d'origine. Il sied, à cet égard, de constater que, lorsque l'autorité intimée a conclu à l'absence de « persécution actuelle », elle a considéré par là qu'il n'y avait pas de besoin de protection au moment où elle a statué. En effet, la reconnaissance de la qualité de réfugié au sens de l'art. 3 LAsi implique, en principe, l'existence d'un besoin de protection actuel, sur la base de la situation prévalant au moment du prononcé de la décision (cf. ATAF 2011/50 consid. 3.1.2). Partant, le SEM se devait inévitablement d'examiner non seulement la pertinence des préjudices subis par le passé, mais également si l'intéressé pouvait se prévaloir d'une crainte fondée de persécution future. Il convient d'ailleurs de relever qu'au tout début de son analyse du cas d'espèce, il a résumé la situation en exposant que A._______ « craign[ait] d'être jugé et détenu dans des conditions inhumaines (...) suite à une convocation de police à laquelle [il] n'av[ait] pas répondu » (cf. décision du 9 juillet 2019, p. 3), ce qui démontre qu'il a bien examiné les risques que pourrait encourir celui-ci à son retour en Irak. Quant à l'appréciation par le SEM de cette convocation, il s'agit d'une question qui relève du fond, laquelle sera traitée ci-dessous.</w:t>
      </w:r>
    </w:p>
    <w:p>
      <w:r>
        <w:rPr>
          <w:b/>
        </w:rPr>
        <w:t>E. 2.5</w:t>
      </w:r>
    </w:p>
    <w:p>
      <w:r>
        <w:t>Dans ces conditions, le Tribunal constate que le Secrétariat d'Etat a motivé sa décision conformément aux exigences jurisprudentielles précitées et que l'intéressé a ainsi pu contester celle-ci en connaissance de cause. Le grief formel s'avérant mal fondé, il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4.1</w:t>
      </w:r>
    </w:p>
    <w:p>
      <w:r>
        <w:t>Au cours de ses différentes auditions, A._______ a notamment allégué que, 10 à 15 jours avant la fête de Norouz (21 mars), des agents étaient venus le chercher chez lui pour l'emmener au poste de police. Il y aurait été interrogé sur ses nombreux allers-retours en direction de B._______, village où se trouveraient les terrains agricoles de sa famille. Malgré leurs soupçons sur le fait que le prénommé transportait des marchandises pour le compte du Parti des travailleurs du Kurdistan (PKK), les forces de l'ordre l'auraient relâché, tout en l'avertissant des lourdes conséquences que pouvait représenter une nouvelle arrestation. Quelques jours plus tard, soit le 17 mars 2019, des policiers auraient remis à la mère de celui-ci une convocation enjoignant « l'accusé » à se présenter au poste de police de C._______ le lendemain, laquelle a été produite, en original, auprès du SEM. De peur d'être condamné pour collaboration avec le PKK et ainsi de subir des tortures, voire d'être tué, l'intéressé aurait, sur les conseils de son père, quitté l'Irak à destination de la D._______, en date du 19 mars 2019, où il aurait pu entrer légalement muni de son passeport. Il a également exposé que, cinq moins plus tôt, un avion turc avait bombardé la maison de son grand-père et de son oncle, à B._______, en raison de la présence d'un membre du PKK dans la région. A cet égard, il a donné le lien d'une vidéo, diffusée sur la télévision kurde, relatant le bombardement d'une maison.</w:t>
      </w:r>
    </w:p>
    <w:p>
      <w:r>
        <w:rPr>
          <w:b/>
        </w:rPr>
        <w:t>E. 4.2</w:t>
      </w:r>
    </w:p>
    <w:p>
      <w:r>
        <w:t>Dans son projet de décision du 5 juillet 2019, se dispensant d'examiner la vraisemblance des propos du recourant, le SEM a retenu que celui-ci n'avait pas établi à satisfaction de droit être dans le collimateur des autorités, au moment de son départ d'Irak, et risquer d'être exposé à des mesures déterminantes au regard de l'art. 3 LAsi, en cas de retour au pays. Par ailleurs, il a considéré que l'exécution du renvoi de l'intéressé était licite, raisonnablement exigible et possible.</w:t>
      </w:r>
    </w:p>
    <w:p>
      <w:r>
        <w:rPr>
          <w:b/>
        </w:rPr>
        <w:t>E. 4.3</w:t>
      </w:r>
    </w:p>
    <w:p>
      <w:r>
        <w:t>À l'appui de sa prise de position du 8 juillet 2019, le recourant a, par l'entremise de sa mandataire, fait valoir être fondé à craindre une persécution future, s'il était amené à retourner en Irak, et qualifié la motivation du SEM comme étant « incompréhensible et lacunaire ».</w:t>
      </w:r>
    </w:p>
    <w:p>
      <w:r>
        <w:rPr>
          <w:b/>
        </w:rPr>
        <w:t>E. 4.4</w:t>
      </w:r>
    </w:p>
    <w:p>
      <w:r>
        <w:t>Dans sa décision du 9 juillet 2019, le Secrétariat d'Etat a, d'une part, repris l'intégralité de sa motivation contenue dans son projet de décision et, d'autre part, estimé que les éléments développés dans la prise de position ne permettaient pas d'aboutir à une conclusion différente.</w:t>
      </w:r>
    </w:p>
    <w:p>
      <w:r>
        <w:rPr>
          <w:b/>
        </w:rPr>
        <w:t>E. 4.5</w:t>
      </w:r>
    </w:p>
    <w:p>
      <w:r>
        <w:t>Dans son recours du 18 juillet 2019, A._______ a, outre le grief formel examiné et rejeté ci-dessus, soutenu que ses allégations satisfaisaient aux conditions de l'art. 7 LAsi et qu'il risquait de subir de sérieux préjudices au sens de l'art. 3 al. 1 et 2 LAsi, à son retour en Irak. Il a fait valoir, de manière subsidiaire, que l'exécution de son renvoi était inexigible ou illicite.</w:t>
      </w:r>
    </w:p>
    <w:p>
      <w:r>
        <w:rPr>
          <w:b/>
        </w:rPr>
        <w:t>E. 4.6</w:t>
      </w:r>
    </w:p>
    <w:p>
      <w:r>
        <w:t>Dans le cadre de sa réponse du 15 août 2019, l'autorité intimée a maintenu que le prénommé n'était pas objectivement fondé à craindre une persécution future, en cas de retour dans son pays d'origine, et dès lors préconisé le rejet du recours.</w:t>
      </w:r>
    </w:p>
    <w:p>
      <w:r>
        <w:rPr>
          <w:b/>
        </w:rPr>
        <w:t>E. 4.7</w:t>
      </w:r>
    </w:p>
    <w:p>
      <w:r>
        <w:t>Par ses observations du 6 septembre 2019, l'intéressé a intégralement persisté dans ses conclusions, insistant sur le caractère arbitraire de la procédure dont il fait l'objet en Irak et rappelant avoir reçu une convocation pour se présenter « en tant qu'accusé au poste de police de C._______ ».</w:t>
      </w:r>
    </w:p>
    <w:p>
      <w:r>
        <w:rPr>
          <w:b/>
        </w:rPr>
        <w:t>E. 5.1</w:t>
      </w:r>
    </w:p>
    <w:p>
      <w:r>
        <w:t>En l'occurrence, il y a lieu de rappeler, à titre préalable, que l'autorité intimée a considéré que les allégations de A._______ n'étaient pas déterminantes sous l'angle de l'art. 3 LAsi, indépendamment de leur vraisemblance (cf. supra, consid. 2.3).</w:t>
      </w:r>
    </w:p>
    <w:p>
      <w:r>
        <w:rPr>
          <w:b/>
        </w:rPr>
        <w:t>E. 5.2</w:t>
      </w:r>
    </w:p>
    <w:p>
      <w:r>
        <w:t>Cela dit, c'est à juste titre que le SEM a retenu que l'interpellation du prénommé par les forces de l'ordre du Kurdistan irakien n'avait pas revêtu l'intensité requise par la disposition précitée. En effet, le prénommé a été interrogé pendant « environ trente minutes à une heure » au poste de police, avant d'être libéré, avec un simple avertissement oral sur les possibles conséquences d'une nouvelle arrestation (cf. procès-verbal de l'audition du 28 juin 2019, pièce 17/20, Q no 65 p. 8). Par ailleurs, il sied de relever, comme l'a fait le Secrétariat d'Etat à bon droit, qu'aucun motif n'est indiqué sur la convocation de la police de C._______ (cf. pièce 17/20, Q no 88 p. 11) adressée à l'intéressé après sa première interpellation, de sorte qu'il n'est pas possible d'en saisir la portée. Indépendamment de son authenticité, ce document n'est dès lors pas, en soi, en mesure d'étayer les propos du recourant pour ce qui a trait à la crainte de persécution future, en cas de retour dans son pays. Au demeurant, force est de constater que dite convocation aurait été établie le 18 mars 2019 et qu'elle enjoindrait l'intéressé à se présenter au poste de police précité le même jour, à 8 heures du matin. A cela s'ajoute le fait que A._______ n'a jamais exercé d'activités politiques, que lui-même ou sa famille n'entretiennent aucun lien avec le PKK, qu'il a pu quitter l'Irak de manière légale et que ses proches n'ont pas fait l'objet de représailles depuis son départ - son père ayant d'ailleurs conservé son poste de douanier -, ce qui tend à infirmer sa crainte d'être dans le collimateur des autorités de son pays. Quant au bombardement de la maison de son grand-père et de son oncle, au-delà du fait que la vidéo produite fait état d'un tel événement mais dans un autre village, il n'y a pas lieu d'admettre qu'il s'agisse d'une mesure ayant ciblé la famille du recourant, mais plutôt d'un incident s'insérant dans le contexte sécuritaire général, tel que l'a d'ailleurs retenu l'autorité intimée.</w:t>
      </w:r>
    </w:p>
    <w:p>
      <w:r>
        <w:rPr>
          <w:b/>
        </w:rPr>
        <w:t>E. 5.3</w:t>
      </w:r>
    </w:p>
    <w:p>
      <w:r>
        <w:t>Dans ces conditions, le Tribunal conclut, à l'instar du SEM, que l'intéressé n'a pas établi à satisfaction de droit que les mesures prises par les autorités irakiennes à son encontre étaient fondées sur l'un des motifs exhaustivement mentionnés à l'art. 3 al. 1 LAsi. Partant, il n'y a pas lieu de retenir que celui-ci soit objectivement fondé à craindre une persécution future, en cas de retour dans son pays.</w:t>
      </w:r>
    </w:p>
    <w:p>
      <w:r>
        <w:rPr>
          <w:b/>
        </w:rPr>
        <w:t>E. 5.4</w:t>
      </w:r>
    </w:p>
    <w:p>
      <w:r>
        <w:t>Pour le surplus, il convient de renvoyer aux considérants de la décision attaquée dès lors que ceux-ci sont suffisamment explicites et motivés (art. 109 al. 3 LTF, par renvoi de l'art. 4 PA).</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OA 1, n'étant en l'occurrence réalisée, le Tribunal est tenu, de par la loi, de confirmer cette mesure.</w:t>
      </w:r>
    </w:p>
    <w:p>
      <w:r>
        <w:rPr>
          <w:b/>
        </w:rPr>
        <w:t>E. 7.1</w:t>
      </w:r>
    </w:p>
    <w:p>
      <w:r>
        <w:t>L'exécution du renvoi est ordonnée si elle est licite, raisonnablement exigible et possible. Si l'une de ces conditions n'est pas réalisée,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en l'espèce, au principe de non-refoulement de l'art. 5 LAsi. En effet, comme exposé plus haut, le recourant n'a pas démontré qu'en cas de retour dans son pays d'origine, il serait exposé à de sérieux préjudices au sens de l'art. 3 al. 1 et 2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8.4</w:t>
      </w:r>
    </w:p>
    <w:p>
      <w:r>
        <w:t>En l'occurrence, pour les mêmes motifs que ceux déjà relevés précédemment, il n'y a pas lieu d'admettre qu'il existerait pour l'intéressé un risque réel, fondé sur des motifs sérieux et avérés, d'être exposé, en cas de retour dans son pays d'origine, à un traitement prohibé par les art. 3 CEDH et 3 Conv. torture.</w:t>
      </w:r>
    </w:p>
    <w:p>
      <w:r>
        <w:rPr>
          <w:b/>
        </w:rPr>
        <w:t>E. 8.5</w:t>
      </w:r>
    </w:p>
    <w:p>
      <w:r>
        <w:t>Dès lors,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9.2</w:t>
      </w:r>
    </w:p>
    <w:p>
      <w:r>
        <w:t>S'agissant de l'Irak, le Tribunal a distingué, dans sa jurisprudence, la situation régnant dans les provinces kurdes du nord de celle du reste de l'Irak et estimé que l'exécution du renvoi pouvait être raisonnablement exigée à destination de ces provinces, pour autant que le requérant soit originaire de l'une d'elles ou qu'il y ait vécu pendant une longue période et qu'il y dispose d'un réseau social, précisant encore que, pour des familles avec enfants, l'exigibilité ne devait être admise qu'avec retenue (cf. ATAF 2008/5 consid. 7.5, en particulier consid. 7.5.8). Il a confirmé cette jurisprudence dans un arrêt de référence E-3737/2015 du 14 décembre 2015 (consid. 7.4.2 et 7.4.5), dans lequel il a retenu qu'en dépit des affrontements opposant alors les combattants de Daesh et les peshmergas en Irak, l'exécution du renvoi demeurait en principe exigible pour les personnes d'ethnie kurde, originaires des provinces de Dohuk, d'Erbil, de Sulaymaniya et de la nouvelle province de Halabja, ou y ayant vécu durant une longue période et y disposant d'un réseau social (famille, parenté ou amis), ou de liens avec les partis dominants. Cette jurisprudence reste en grande partie d'actualité. Le référendum sur l'indépendance du Kurdistan du 25 septembre 2017, organisé unilatéralement, a entraîné des mesures économiques répressives tant du gouvernement irakien que des Etats turc et iranien voisins. En dépit de la profonde crise politique et économique à laquelle la région autonome kurde d'Irak est de ce fait confrontée, les violences y demeurent relativement limitées (cf. arrêt du Tribunal E-4302/2018 du 10 septembre 2018 et réf. cit.).</w:t>
      </w:r>
    </w:p>
    <w:p>
      <w:r>
        <w:rPr>
          <w:b/>
        </w:rPr>
        <w:t>E. 9.3</w:t>
      </w:r>
    </w:p>
    <w:p>
      <w:r>
        <w:t>En l'espèce, il ne ressort du dossier aucun élément dont on pourrait inférer que l'exécution du renvoi impliquerait une mise en danger concrète du recourant en raison de sa situation personnelle. En effet, A._______ est d'ethnie kurde, est né et a toujours vécu à E._______, dans la province de Dohuk (cf. pièce 17/20, Q no 26 p. 4). Il est en outre jeune, sans charge familiale, apte à travailler et n'a pas allégué de problèmes de santé particuliers. Il peut d'ailleurs se prévaloir d'une activité professionnelle en tant que transporteur et d'une certaine expérience dans le domaine de l'agriculture puisqu'il aidait son père à cultiver ses champs (cf. pièce 17/20, Q no 29 ss p. 4). Il dispose également d'un réseau social et familial sur lequel il pourra compter sur place, en la personne de ses parents et de ses frères et soeurs, avec lesquels il vivait, ainsi que d'oncles et de tantes. A cet égard, il y a lieu de constater que le travail de son père en tant que douanier, cumulé à celui d'agriculteur, permet, selon ses dires, à subvenir aux besoins de toute la famille (cf. pièce 17/20, Q no 16 ss p. 3 s.). Le prénommé pourra ainsi retourner s'établir dans le Kurdistan irakien, dans des conditions remplissant intégralement celles posées par l'art. 83 al. 4 LEI.</w:t>
      </w:r>
    </w:p>
    <w:p>
      <w:r>
        <w:rPr>
          <w:b/>
        </w:rPr>
        <w:t>E. 9.4</w:t>
      </w:r>
    </w:p>
    <w:p>
      <w:r>
        <w:t>Pour ces motifs, l'exécution du renvoi du recourant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En conséquence, le recours, en tant qu'il porte sur le renvoi et son exécution, doit également être rejeté.</w:t>
      </w:r>
    </w:p>
    <w:p>
      <w:r>
        <w:rPr>
          <w:b/>
        </w:rPr>
        <w:t>E. 12.1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12.2</w:t>
      </w:r>
    </w:p>
    <w:p>
      <w:r>
        <w:t>Toutefois, la demande d'assistance judiciaire partielle présentée par l'intéressé à l'appui du recours ayant été admise par décision incidente du 23 juillet 2019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