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D-3667/2006 vom 26. August 2009</w:t>
      </w:r>
    </w:p>
    <w:p>
      <w:r>
        <w:t>Bundesverwaltungsgericht, 2009-08-26, FR</w:t>
      </w:r>
    </w:p>
    <w:p>
      <w:r>
        <w:rPr>
          <w:b/>
        </w:rPr>
        <w:t xml:space="preserve">Quelle: </w:t>
      </w:r>
      <w:r>
        <w:t>https://mcp.opencaselaw.ch/entscheid/bvger_D-3667_2006</w:t>
      </w:r>
    </w:p>
    <w:p>
      <w:r>
        <w:t>FR: TAF D-3667/2006 du 26 août 2009</w:t>
      </w:r>
    </w:p>
    <w:p>
      <w:r>
        <w:t>IT: TAF D-3667/2006 del 26 agosto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PA) et son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l'intéressé n'a pas démontré que les exigences légales et jurisprudentielles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4.2</w:t>
      </w:r>
    </w:p>
    <w:p>
      <w:r>
        <w:t>Le Tribunal constate d'abord que les allégations déterminantes que l'intéressé a faites au cours de la procédure relatives aux motifs qui l'auraient incité à quitter son pays, ne sont que de simples affirmations de sa part, inconsistantes sur certains points et divergentes sur d'autres, qu'aucun élément concret et sérieux ni moyen de preuve déterminant ne vient étayer.</w:t>
      </w:r>
    </w:p>
    <w:p>
      <w:r>
        <w:rPr>
          <w:b/>
        </w:rPr>
        <w:t>E. 4.3</w:t>
      </w:r>
    </w:p>
    <w:p>
      <w:r>
        <w:t>Par ailleurs, il juge que dites allégations ne remplissent pas les conditions de vraisemblance de l'art. 7 LAsi. Ainsi, on peut d'emblée douter de la réelle appartenance de l'intéressé à l'UPADS et, partant, qu'il ait été chargé de faire de la propagande pour ce parti. D'abord, l'intéressé n'a produit aucun document susceptible de démontrer son statut au sein de ce parti. Ensuite, comme l'a relevé l'ODM, il a prétendu à tort que les élections en vue desquelles il devait faire de la propagande devaient se dérouler en 2000 (cf. pv de l'audition du 28 septembre 2003, p. 17) et que l'UPADS n'existait plus au Congo depuis le départ en exil de Pascal Lissouba (cf. pv de l'audition du 21 octobre 2003, p. 6). Les dénégations et explications du recourant à ce sujet ne sont guère convaincantes. On retiendra notamment que le procès-verbal de l'audition menée à l'aéroport lui a été intégralement relu et traduit en français et qu'il en a signé chaque page. Le recourant a par ailleurs allégué qu'il avait participé à des combats jusqu'en (...). Or, comme l'a également relevé l'ODM, cela ne correspond pas à la situation qui prévalait au Congo (Brazzaville) à cette époque.</w:t>
      </w:r>
    </w:p>
    <w:p>
      <w:r>
        <w:rPr>
          <w:b/>
        </w:rPr>
        <w:t>E. 4.4</w:t>
      </w:r>
    </w:p>
    <w:p>
      <w:r>
        <w:t>L'intéressé a certes déposé divers moyens de preuve censés étayer ses dires. S'agissant tout d'abord de la carte militaire du CNR, il y a lieu de relever, à l'instar de l'ODM, que l'absence de tout tampon officiel empêche de lui conférer une valeur probante décisive. Au demeurant, ce document, même en admettant son authenticité, ne permettrait pas de démontrer la réalité des faits allégués, en particulier en ce qui concerne les recherches dont ferait l'objet l'intéressé. Quant aux deux autres documents, à savoir l'"avis de recherches" et le mandat d'arrêt, n'ayant été produits que sous la forme de télécopies, ils ne peuvent être pris en considération, puisque ce moyen technique n'exclut pas la reproduction d'autres données que celles figurant authentiquement sur le texte original. Cela étant, indépendamment de la question de leur authenticité, il y a lieu de relever qu'ils ne contiennent également aucune indication propre à démontrer la véracité des allégations de l'intéressé ou à établir sa qualité de réfugié. A cet égard, il ressort de ces documents que l'intéressé serait recherché pour des actes de vandalisme (l'accusation de meurtre ayant été abandonnée dans le document le plus récent) commis courant (...), lors des "événements socio-politiques". Or, il y a lieu de rappeler que tout État peut légitimement entreprendre des mesures en vue de sanctionner des actes illicites et d'assurer le maintien de l'ordre public. Ce n'est que si l'État abuse de ce moyen pour l'un des motifs énumérés à l'art. 3 LAsi que l'on peut conclure à la réalité d'une persécution. In casu, il n'y a au dossier aucun élément tangible permettant de craindre que tel puisse être le cas. Le recourant n'a en particulier pas démontré qu'il se verrait infliger une peine d'une sévérité disproportionnée du fait de sa race, de sa religion, de sa nationalité, de son appartenance à un certain groupe social ou de ses opinions politiques. En tout état de cause, la simple production de tels documents judiciaires n'apparaît pas suffisante pour démontrer qu'il serait recherché dans son pays pour un des motifs énoncés à l'art. 3 LAsi ou qu'il y encourrait une sanction disproportionnée de ce fait.</w:t>
      </w:r>
    </w:p>
    <w:p>
      <w:r>
        <w:rPr>
          <w:b/>
        </w:rPr>
        <w:t>E. 4.5</w:t>
      </w:r>
    </w:p>
    <w:p>
      <w:r>
        <w:t>Au demeurant, même en admettant, par pure hypothèse, que l'intéressé ait effectivement été membre de l'UPADS et qu'il ait combattu au sein du CNR, sa crainte d'être encore recherché par les autorités congolaises pour ces motifs ne serait actuellement plus fondée au vu des changements intervenus depuis lors au Congo. En effet, si les combats entre les milices Ninjas du Pasteur Ntoumi (le dirigeant du CNR) et les forces gouvernementales ont repris le 29 mars 2002 dans la région du Pool, et ont perduré durant un an, il est notoire qu'un accord de paix a finalement été signé, le 17 mars 2003, entre les deux parties. Au mois d'août de la même année, l'Assemblée nationale a adopté une nouvelle loi d'amnistie en faveur des combattants du CNR, des soldats des forces gouvernementales, ainsi que des miliciens et des mercenaires à leur solde, prévoyant l'extension de la loi d'amnistie du 20 décembre 1999 à toutes les infractions commises depuis janvier 2000 (cf. Rapport 2003 d'Amnesty international sur le Congo). Lors des dernières élections législatives qui se sont déroulées les 24 juin et 5 août 2007, le Parti congolais du Travail (PCT), la formation du président Denis Sassou Nguesso, et ses alliés ont certes obtenu la majorité absolue à l'Assemblée nationale. L'opposition a néanmoins remporté onze sièges, dont dix à l'UPADS de l'ex-président Lissouba. Quant au Pasteur Ntumi, il a transformé sa rébellion ninja en parti, rebaptisant le CNR en Conseil national des Républicains, lequel a alors présenté des candidats aux législatives de 2007 - dont le Pasteur Ntumi -, mais n'a remporté aucun siège. Actuellement, l'UPADS, principale formation de l'opposition, dispose d'un groupe parlementaire (douze députés) à l'Assemblée nationale. A cela s'ajoute qu'elle a présenté un candidat officiel aux élections présidentielles du 12 juillet 2009, même si sa candidature a finalement été invalidée par la Cour constitutionnelle. Quant auxdites élections, dont le résultat a certes été contesté par l'opposition, elles ont été remportées par le président Denis Sassou Nguesso. Il y a encore lieu de relever à ce sujet que certaines factions de l'UPADS ont officiellement appelé à voter pour le président sortant. Ainsi, sur la base d'une analyse actualisée de la situation, le Tribunal a eu l'occasion de constater que les membres de l'UPADS n'étaient pas exposés à des persécutions au Congo (cf. arrêt du Tribunal E-3749/2006 du 24 novembre 2008 consid. 4.3.3 et les références citées). Partant, la crainte de futures persécutions de l'intéressé n'est à l'heure actuelle de toute façon plus fondée.</w:t>
      </w:r>
    </w:p>
    <w:p>
      <w:r>
        <w:rPr>
          <w:b/>
        </w:rPr>
        <w:t>E. 4.6</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L'intéressé n'ayant pas établi l'existence de sérieux préjudices au sens de l'art. 3 LAsi, il ne peut se prévaloir de l'art. 5 al. 1 LAsi (principe de non-refoulement). 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Le Congo (Brazzaville) ne connaît pas une situation de guerre, de guerre civile ou de violences généralisées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6.3.2</w:t>
      </w:r>
    </w:p>
    <w:p>
      <w:r>
        <w:t>En outre, il ne ressort pas du dossier que l'intéressé pourrait être mis sérieusement en danger pour des motifs qui lui seraient propres. Il est jeune, a bénéficié d'une certaine formation et dispose d'un réseau familial. Enfin, il n'a pas allégué ni a fortiori établi qu'il souffrait de problèmes de santé particuliers pour lesquels il ne pourrait être soigné au Congo (Brazzaville) et qui seraient susceptibles de rendre son renvoi inexécutable. L'ensemble de ces facteurs devrait ainsi lui permettre de se réinstaller dans son pays sans y rencontrer d'excessives difficultés.</w:t>
      </w:r>
    </w:p>
    <w:p>
      <w:r>
        <w:rPr>
          <w:b/>
        </w:rPr>
        <w:t>E. 6.3.3</w:t>
      </w:r>
    </w:p>
    <w:p>
      <w:r>
        <w:t>Par ailleurs, il faut rappeler qu'il peut être raisonnablement exigé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6.3.4</w:t>
      </w:r>
    </w:p>
    <w:p>
      <w:r>
        <w:t>Compte tenu de ce qui précède, l'exécution du renvoi s'avère raisonnablement exigible.</w:t>
      </w:r>
    </w:p>
    <w:p>
      <w:r>
        <w:rPr>
          <w:b/>
        </w:rPr>
        <w:t>E. 6.4</w:t>
      </w:r>
    </w:p>
    <w:p>
      <w:r>
        <w:t>Dite exécution s'avère aussi possible (art. 44 al. 2 LAsi et art. 83 al. 2 LEtr). Il incombe en effet à l'intéressé, dans le cadre de son obligation de collaborer, d'entreprendre toutes les démarches nécessaires pour obtenir les documents lui permettant de retourner dans son pays d'origine (art. 8 al. 4 LAsi).</w:t>
      </w:r>
    </w:p>
    <w:p>
      <w:r>
        <w:rPr>
          <w:b/>
        </w:rPr>
        <w:t>E. 6.5</w:t>
      </w:r>
    </w:p>
    <w:p>
      <w:r>
        <w:t>Il s'ensuit que le recours, en tant qu'il porte sur l'exécution du renvoi, doit être rejeté et le dispositif de la décision entreprise également confirmé sur ce point.</w:t>
      </w:r>
    </w:p>
    <w:p>
      <w:r>
        <w:rPr>
          <w:b/>
        </w:rPr>
        <w:t>E. 7</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