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D-3661/2011 vom 19. November 2013</w:t>
      </w:r>
    </w:p>
    <w:p>
      <w:r>
        <w:t>Bundesverwaltungsgericht, 2013-11-19, FR</w:t>
      </w:r>
    </w:p>
    <w:p>
      <w:r>
        <w:rPr>
          <w:b/>
        </w:rPr>
        <w:t xml:space="preserve">Quelle: </w:t>
      </w:r>
      <w:r>
        <w:t>https://mcp.opencaselaw.ch/entscheid/bvger_D-3661_2011</w:t>
      </w:r>
    </w:p>
    <w:p>
      <w:r>
        <w:t>FR: TAF D-3661/2011 du 19 novembre 2013</w:t>
      </w:r>
    </w:p>
    <w:p>
      <w:r>
        <w:t>IT: TAF D-3661/2011 del 19 novembre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1.2</w:t>
      </w:r>
    </w:p>
    <w:p>
      <w:r>
        <w:t>L'intéressé a qualité pour recourir (art. 48 al. 1 PA). Interjeté dans la forme (art. 52 PA) et le délai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Elle considère donc elle-même que l'état de fait, tel que retenu dans sa décision du 26 mai 2011,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 verrait privée en réalité de l'instance de recours. Le Tribunal doit donc, pour ces motifs, se limiter à valider ou compléter l'état de fait pertinent, tel qu'il a été retenu par l'ODM (cf. ATAF 2012/21 consid. 5 ;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w:t>
      </w:r>
    </w:p>
    <w:p>
      <w:r>
        <w:t>Manifestement fondé, le recours est admis dans une procédure à juge unique, avec l'approbation d'un second juge (cf. art. 111 let. e LAsi).</w:t>
      </w:r>
    </w:p>
    <w:p>
      <w:r>
        <w:rPr>
          <w:b/>
        </w:rPr>
        <w:t>E. 5</w:t>
      </w:r>
    </w:p>
    <w:p>
      <w:r>
        <w:t>Vu l'issue de la cause, il n'est pas perçu de frais de procédure (cf. art. 63 al. 1 PA).</w:t>
      </w:r>
    </w:p>
    <w:p>
      <w:r>
        <w:rPr>
          <w:b/>
        </w:rPr>
        <w:t>E. 6.1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6.2</w:t>
      </w:r>
    </w:p>
    <w:p>
      <w:r>
        <w:t>Le recourant doit en l'espèce être considéré comme ayant obtenu gain de cause, dans la mesure où il est fait droit à sa conclusion principale tendant à l'annulation de la décision attaquée. Il convient dès lors de trancher la question des dépens, sans accorder un délai pour produire un nouveau décompte pour les actes entrepris après le 3 janvier 2012 (cf. à ce sujet la conclusion n° 6 du mémoire de recours et la let. H des faits).</w:t>
      </w:r>
    </w:p>
    <w:p>
      <w:r>
        <w:rPr>
          <w:b/>
        </w:rPr>
        <w:t>E. 6.3</w:t>
      </w:r>
    </w:p>
    <w:p>
      <w:r>
        <w:t>En application des règles de calcul prévues dans la loi, vu les circonstances particulières et en prenant en considération les frais et le temps nécessaires à la défense de la partie, les dépens sont arrêtés au montant de 1800 francs,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