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D-3658/2012 vom 2. Dezember 2013</w:t>
      </w:r>
    </w:p>
    <w:p>
      <w:r>
        <w:t>Bundesverwaltungsgericht, 2013-12-02, DE</w:t>
      </w:r>
    </w:p>
    <w:p>
      <w:r>
        <w:rPr>
          <w:b/>
        </w:rPr>
        <w:t xml:space="preserve">Quelle: </w:t>
      </w:r>
      <w:r>
        <w:t>https://mcp.opencaselaw.ch/entscheid/bvger_D-3658_2012</w:t>
      </w:r>
    </w:p>
    <w:p>
      <w:r>
        <w:t>FR: TAF D-3658/2012 du 2 décembre 2013</w:t>
      </w:r>
    </w:p>
    <w:p>
      <w:r>
        <w:t>IT: TAF D-3658/2012 del 2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Das Gesuch um koordinierte Verfahrenserledigung betreffend Auslandverfahren der Ehefrau und Kinder ist vorliegend im Interesse der im Heimatland verbliebenen Ehefrau und Kinder abzuweisen, zumal das Verfahren des Beschwerdeführers - wie den folgenden Erwägungen entnommen werden kann - neu zu beurteilen ist und sich im Fall einer positiven Entscheidung eine für die Ehefrau und Kinder günstigere Ausgangslage ergeben könnte. Da die Ehefrau gemäss den Angaben des Beschwerdeführers ein Auslandgesuch gestellt haben soll, ist eine koordinierte Verfahrenserledigung auch aufgrund der gänzlich unterschiedlichen Verfahrensmodalitäten nicht durchführbar.</w:t>
      </w:r>
    </w:p>
    <w:p>
      <w:r>
        <w:rPr>
          <w:b/>
        </w:rPr>
        <w:t>E. 2</w:t>
      </w:r>
    </w:p>
    <w:p>
      <w:r>
        <w:t>Die Beschwerde ist im Verfahren einzelrichterlicher Zuständigkeit mit Zustimmung eines zweiten Richters oder einer zweiten Richterin zu behandeln, weil sie sich im Zuge der vom BFM geänderten Praxis im Ergebnis als offensichtlich begründet erweist (Art. 111 Bst. e AsylG).</w:t>
      </w:r>
    </w:p>
    <w:p>
      <w:r>
        <w:rPr>
          <w:b/>
        </w:rPr>
        <w:t>E. 3.1</w:t>
      </w:r>
    </w:p>
    <w:p>
      <w:r>
        <w:t>Das BFM ist bei Asylverfahren, die Staatsangehörige Sri Lankas tamilischer Herkunft betreffen, systematisch dazu übergegangen, keine Ausreisefristen mehr zu verhängen und bereits angeordnete Ausreisefristen aufzuheben. Faktisch zieht es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selbst davon aus, dass der Sachverhalt, wie er der Verfügung vom 5. Juni 2012 zugrunde liegt, offensichtlich nicht vollständig festgestellt ist. Denn es besteht kein Zweifel, dass eine neue Lagebeurteilung vor Ort sich auf die konkrete Feststellung des rechtserheblichen Sachverhalts auswirken kann, sei es im Wegweisungsvollzugspunkt oder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Aufgabe der Beschwerdeinstanz sein, grundlegende Fragen zum Sachverhalt als erste Instanz zu klären. Das ergibt sich aus der gesetzlichen Zuständigkeitsordnung. Das Gericht beurteilt Beschwerde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Bundesveraltungsgericht von eigenen Sachverhaltsfeststellungen, die über eine blosse Ergänzung und Erwahrung des rechtserheblichen Sachverhalts hinausreichen, abzusehen (vgl. BVGE 2012/21 E. 5; ferner Urteile des Bundesverwaltungsgerichts E-4157/2012 vom 4. Oktober 2012, E. 4).</w:t>
      </w:r>
    </w:p>
    <w:p>
      <w:r>
        <w:rPr>
          <w:b/>
        </w:rPr>
        <w:t>E. 3.3</w:t>
      </w:r>
    </w:p>
    <w:p>
      <w:r>
        <w:t>Demnach ist die angefochtene Verfügung aufzuheben und die Sache zur vollständigen Sachverhaltsfeststellung und zu neuer Entscheidung an die Vorinstanz zurückzuweisen (unter Beilage der Beweismittel im Original). Die Tatsache allein, dass die Ergebnisse der vorinstanzlichen Abklärungen abzuwarten sind, rechtfertigt die Aufhebung der Verfügung. Die Beschwerde ist - ungeachtet der Parteivorbringen - somit gutzuheissen. Auf die weiteren Vorbringen in der Rechtsmit­telein­gabe ist aufgrund der vorliegenden Kassation zum heutigen Zeit­punkt nicht näher einzugehen.</w:t>
      </w:r>
    </w:p>
    <w:p>
      <w:r>
        <w:rPr>
          <w:b/>
        </w:rPr>
        <w:t>E. 4.1</w:t>
      </w:r>
    </w:p>
    <w:p>
      <w:r>
        <w:t>Bei diesem Ausgang des Verfahrens sind keine Kosten zu erheben (Art. 63 VwVG). Der vom Beschwerdeführer am 2. August 2012 bezahlte Kostenvorschuss ist ihm zurückzuerstatten.</w:t>
      </w:r>
    </w:p>
    <w:p>
      <w:r>
        <w:rPr>
          <w:b/>
        </w:rPr>
        <w:t>E. 4.2</w:t>
      </w:r>
    </w:p>
    <w:p>
      <w:r>
        <w:t>Die Beschwerdeinstanz kann der ganz oder teilweise obsiegenden Partei von Amtes wegen oder auf Begehren eine Entschädigung für ihr erwachsene notwendige und verhältnismässig hohe Kosten zusprechen (Art. 64 Abs. 1 VwVG). 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Da keine Kostennote eingereicht wurde, ist die Parteientschädigung unter Berücksichtigung der massgeblichen Bemessungsfaktoren (vgl. Art. 8 ff. VKGE) von Amtes wegen (Art. 14 Abs. 2 VGKE) auf Fr. 2000.- (inkl. Auslagen und Mehrwertsteuer) festzulegen. Das BFM ist anzuweisen, dem Beschwerdeführer den erwähnten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