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D-3656/2021 vom 20. August 2021</w:t>
      </w:r>
    </w:p>
    <w:p>
      <w:r>
        <w:t>Bundesverwaltungsgericht, 2021-08-20, DE</w:t>
      </w:r>
    </w:p>
    <w:p>
      <w:r>
        <w:rPr>
          <w:b/>
        </w:rPr>
        <w:t xml:space="preserve">Quelle: </w:t>
      </w:r>
      <w:r>
        <w:t>https://mcp.opencaselaw.ch/entscheid/bvger_D-3656_2021</w:t>
      </w:r>
    </w:p>
    <w:p>
      <w:r>
        <w:t>FR: TAF D-3656/2021 du 20 août 2021</w:t>
      </w:r>
    </w:p>
    <w:p>
      <w:r>
        <w:t>IT: TAF D-3656/2021 del 20 agosto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Beschwerdeschrift werden der Vorinstanz Verletzungen des Anspruchs auf rechtliches Gehör (und mithin der Begründungspflicht) sowie des Untersuchungsgrundsatzes vorgeworfen. Diese formellen Rügen sind vorab zu prüfen.</w:t>
      </w:r>
    </w:p>
    <w:p>
      <w:r>
        <w:rPr>
          <w:b/>
        </w:rPr>
        <w:t>E. 3.2</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 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w:t>
      </w:r>
    </w:p>
    <w:p>
      <w:r>
        <w:t>Der Beschwerdeführer rügt, das SEM sei nur ungenügend auf seine Vorbringen zu den Mängeln im rumänischen Asylsystem, das systemische Schwachstellen aufweise, und seine individuell vorgebrachten Erlebnisse eingegangen, es habe den Sachverhalt nur unzureichend erhoben und auch nicht gewürdigt. Dadurch habe es seine Untersuchungs- und Begründungspflicht verletzt. 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zum Asyl- und Aufnahmesystem in Rumänien, den Eingaben des Beschwerdeführers zur dortigen Unterbringung sowie mit seinen geltend gemachten individuellen Erlebnissen in Rumänien und seinen gesundheitlichen Beeinträchtigungen, insbesondere auch den diversen in den Akten liegenden medizinischen Unterlagen, den darin gestellten Diagnosen und Therapien sowie den Lebensbedingungen in Rumänien (vgl. angefochtene Verfügung, S. 4-7) und dem im Schreiben vom 7. Mai 2021 gestellten Ersuchen, er sei zur Feststellung des rechtserheblichen Sachverhalts umfassend psychiatrisch/psychologisch zu behandeln (vgl. angefochtene Verfügung, S. 6), hinreichend auseinandergesetzt. Zur gesundheitlichen Situation führte das SEM an, aufgrund der medizinischen Unterlagen und der vom Beschwerdeführer geschilderten gesundheitlichen Beeinträchtigungen könne zuverlässig festgestellt werden, dass die hohe Schwelle für eine drohende Verletzung von Art. 3 EMRK nicht überschritten werde und sich der Gesundheitszustand des Beschwerdeführers bei einer Rückkehr in den für ihn zuständigen Dublin-Staat drastisch verschlechtern würde. Diese Beurteilung ist vorliegend nicht zu beanstanden, weshalb aus diesem Vorgehen der Vorinstanz keine unrichtige oder unvollständige Feststellung des Sachverhalts zu erkennen ist. Soweit der Beschwerdeführer moniert, das SEM habe sowohl die Situation in Rumänien als auch seine Situation nicht gewürdigt, beschlägt dies die rechtliche Würdigung des Sachverhalts. Im Übrigen liegt im Vorgehen der Vorinstanz auch keine Verletzung der Begründungspflicht,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w:t>
      </w:r>
    </w:p>
    <w:p>
      <w:r>
        <w:rPr>
          <w:b/>
        </w:rPr>
        <w:t>E. 3.4</w:t>
      </w:r>
    </w:p>
    <w:p>
      <w:r>
        <w:t>Es besteht folglich kein Anlass, die Sache zwecks weiterer Abklärungen und neuerlicher Prüfung an die Vorinstanz zurückzuweisen. Der Rückweisungsantrag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die Durchsetzung einer Zuständigkeit gemäss Dublin-III-VO eine Verletzung der EMRK bedeuten würde (vgl. Filzwieser/Sprung, a.a.O., K2 zu Artikel 17).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5.1</w:t>
      </w:r>
    </w:p>
    <w:p>
      <w:r>
        <w:t>Angesichts dessen, dass der Beschwerdeführer vor seiner Asylgesuchstellung in der Schweiz in Rumänien ein Asylgesuch eingereicht hatte und die rumänischen Behörden dem Ersuchen um Wiederaufnahme des Beschwerdeführers am (...) ausdrücklich zustimmten, ist die Zuständigkeit Rumäniens grundsätzlich gegeben.</w:t>
      </w:r>
    </w:p>
    <w:p>
      <w:r>
        <w:rPr>
          <w:b/>
        </w:rPr>
        <w:t>E. 5.2.1</w:t>
      </w:r>
    </w:p>
    <w:p>
      <w:r>
        <w:t>Im Lichte von Art. 3 Abs. 2 Dublin-III-VO ist sodann zu prüfen, ob es wesentliche Gründe für die Annahme gibt, dass das Asylverfahren und die Aufnahmebedingungen für Asylsuchende in Rumänien systemische Schwachstellen aufweisen, die eine Gefahr einer unmenschlichen oder entwürdigenden Behandlung im Sinne von Art. 4 EU-Grundrechtecharta mit sich bringen würden.</w:t>
      </w:r>
    </w:p>
    <w:p>
      <w:r>
        <w:rPr>
          <w:b/>
        </w:rPr>
        <w:t>E. 5.2.2</w:t>
      </w:r>
    </w:p>
    <w:p>
      <w:r>
        <w:t>Rumänien ist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ist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In Übereinstimmung mit der Vorinstanz und der aktuellen Rechtsprechung des Bundesverwaltungsgerichts weist das Asylverfahren in Rumänien keine systemischen Schwachstellen auf (vgl. statt vieler Urteil BVGer F-2677/2021 vom 14. Juni 2021 E. 5.2 m.w.H.). Mit dem Hinweis, generell könne in Rumänien eine starke Zunahme von Gewalt gegenüber Asylsuchenden in Rumänien und sogenannten Push-Backs festgestellt werden, wie verschiedene Berichte belegten, sowie die Lebensbedingungen für Asylsuchenden seien schwierig und unmenschlich, vermag der Beschwerdeführer diesen Schluss nicht in Frage zu stellen. Eine Anwendung von Art. 3 Abs. 2 Dublin-III-VO fällt nicht in Betracht.</w:t>
      </w:r>
    </w:p>
    <w:p>
      <w:r>
        <w:rPr>
          <w:b/>
        </w:rPr>
        <w:t>E. 5.3.1</w:t>
      </w:r>
    </w:p>
    <w:p>
      <w:r>
        <w:t>Es besteht vorliegend auch kein Grund für eine Anwendung der Ermessensklauseln von Art. 17 Dublin-III-VO. 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5.3.2</w:t>
      </w:r>
    </w:p>
    <w:p>
      <w:r>
        <w:t>Der Beschwerdeführer wendet auf Beschwerdeebene ein, er sei in Rumänien von der Polizei verprügelt worden, weil er darauf bestanden habe, wegen seines schmerzenden (Nennung Körperteil) zu einem Arzt gebracht zu werden. Damit vermag er nicht darzutun, mit einer Überstellung nach Rumänien verletze die Schweiz in seinem Fall völkerrechtliche Verpflichtungen oder Rumänien würde ihm dauerhaft die ihm gemäss Aufnahmerichtlinie zustehenden minimalen Lebensbedingungen vorenthalten. Er kann sich gegebenenfalls in Rumänien künftig an die zuständigen Behörden, an eine Rechtsvertretung oder eine Ombudsstelle wenden, die ihn entsprechend beraten respektive ihm Schutz gewähren werden. Die Vermutung, Rumänien respektiere seine völkerrechtlichen Verpflichtungen, konnte somit nicht umgestossen werden.</w:t>
      </w:r>
    </w:p>
    <w:p>
      <w:r>
        <w:rPr>
          <w:b/>
        </w:rPr>
        <w:t>E. 5.4</w:t>
      </w:r>
    </w:p>
    <w:p>
      <w:r>
        <w:t>Der Beschwerdeführer vermag in der Rechtsmitteleingabe ferner kein konkretes und ernsthaftes Risiko aufzuzeigen, dass sich die rumänischen Behörden weigern würden, ihn wiederaufzunehmen und seinen Antrag auf internationalen Schutz unter Einhaltung der Regeln der Verfahrensrichtlinie zu prüfen. Den Akten sind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vermag er nicht darzulegen, dass die ihn bei einer Rückführung erwartenden Bedingungen in Rumänien derart schlecht seien, dass sie zu einer Verletzung von Art. 4 der EU-Grundrechtecharta, Art. 3 EMRK oder Art. 3 FoK führen könnten.</w:t>
      </w:r>
    </w:p>
    <w:p>
      <w:r>
        <w:rPr>
          <w:b/>
        </w:rPr>
        <w:t>E. 5.5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5.6</w:t>
      </w:r>
    </w:p>
    <w:p>
      <w:r>
        <w:t>Es bleibt zu prüfen, ob eine Verletzung der Souveränitätsklausel vorliegt. 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Es ist nicht ersichtlich, dass das SEM die spezifischen Umstände des Einzelfalls nicht genügend berücksichtigt hätte. Ein Ermessensmissbrauch liegt demnach nicht vor.</w:t>
      </w:r>
    </w:p>
    <w:p>
      <w:r>
        <w:rPr>
          <w:b/>
        </w:rPr>
        <w:t>E. 5.7</w:t>
      </w:r>
    </w:p>
    <w:p>
      <w:r>
        <w:t>Somit bleibt Rumänien der für die Behandlung des Asylgesuchs des Beschwerdeführers zuständige Mitgliedstaat gemäss Dublin-III-VO. Rumänien ist verpflichtet, das Asylverfahren gemäss Art. 23, Art. 24, Art. 25 und Art. 29 Dublin-III-VO wiederaufzunehmen.</w:t>
      </w:r>
    </w:p>
    <w:p>
      <w:r>
        <w:rPr>
          <w:b/>
        </w:rPr>
        <w:t>E. 6</w:t>
      </w:r>
    </w:p>
    <w:p>
      <w:r>
        <w:t>Das SEM ist demnach zu Recht in Anwendung von Art. 31a Abs. 1 Bst. b AsylG auf das Asylgesuch des Beschwerdeführers nicht eingetreten. Der Subeventualantrag um Einholung individueller Zusicherungen der rumänischen Behörden bezüglich des Zugangs zum Asylverfahren sowie angemessener Unterbringung, Ernährung, Zugang zur medizinischen Grundversorgung sowie des Unterbleibens einer Kettenabschiebung in die G._______ ist abzuweisen. Da der Beschwerdeführer nicht im Besitz einer gültigen Aufenthalts- oder Niederlassungsbewilligung ist, wurde die Überstellung nach Rumänien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Der am 17. August Juli 2021 verfügte Vollzugsstopp fällt mit dem vorliegenden Urteil dahin.</w:t>
      </w:r>
    </w:p>
    <w:p>
      <w:r>
        <w:rPr>
          <w:b/>
        </w:rPr>
        <w:t>E. 8.2</w:t>
      </w:r>
    </w:p>
    <w:p>
      <w:r>
        <w:t>Mit dem Entscheid in der Hauptsache sind die Gesuche um Erteilung der aufschiebenden Wirkung und um Verzicht auf die Erhebung eines Kostenvorschusses gegenstandslos geworden.</w:t>
      </w:r>
    </w:p>
    <w:p>
      <w:r>
        <w:rPr>
          <w:b/>
        </w:rPr>
        <w:t>E. 9</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