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D-3656/2008 vom 16. Dezember 2010</w:t>
      </w:r>
    </w:p>
    <w:p>
      <w:r>
        <w:t>Bundesverwaltungsgericht, 2010-12-16, DE</w:t>
      </w:r>
    </w:p>
    <w:p>
      <w:r>
        <w:rPr>
          <w:b/>
        </w:rPr>
        <w:t xml:space="preserve">Quelle: </w:t>
      </w:r>
      <w:r>
        <w:t>https://mcp.opencaselaw.ch/entscheid/bvger_D-3656_2008</w:t>
      </w:r>
    </w:p>
    <w:p>
      <w:r>
        <w:t>FR: TAF D-3656/2008 du 16 décembre 2010</w:t>
      </w:r>
    </w:p>
    <w:p>
      <w:r>
        <w:t>IT: TAF D-3656/2008 del 16 dicembre 2010</w:t>
      </w:r>
    </w:p>
    <w:p>
      <w:pPr>
        <w:pStyle w:val="Heading2"/>
      </w:pPr>
      <w:r>
        <w:t>Regeste</w:t>
      </w:r>
    </w:p>
    <w:p>
      <w:r>
        <w:t>Asyl und Wegweisung (Beschwerden gegen Wiedererwägungsentscheid)</w:t>
      </w:r>
    </w:p>
    <w:p>
      <w:pPr>
        <w:pStyle w:val="Heading2"/>
      </w:pPr>
      <w:r>
        <w:t>Erwägungen</w:t>
      </w:r>
    </w:p>
    <w:p>
      <w:r>
        <w:rPr>
          <w:b/>
        </w:rPr>
        <w:t>E. 1.1</w:t>
      </w:r>
    </w:p>
    <w:p>
      <w:r>
        <w:t>Das Bundesverwaltungsgericht ist unter anderem zuständige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Mit Beschwerde können die Verletzung von Bundesrecht, die un­rich­ti­ge oder unvollständige Feststellung des rechtserheblichen Sach­verhalts und die Unangemessenheit gerügt werden (Art. 106 Abs. 1 AsylG).</w:t>
      </w:r>
    </w:p>
    <w:p>
      <w:r>
        <w:rPr>
          <w:b/>
        </w:rPr>
        <w:t>E. 1.3</w:t>
      </w:r>
    </w:p>
    <w:p>
      <w:r>
        <w:t>Die Beschwerdeführenden sind zur Beschwerde legitimiert und sie haben ihre Eingabe frist- und formgerecht eingereicht, weshalb auf die Be­schwerde einzutreten ist (vgl. dazu Art. 105 AsylG i.V.m. Art. 37 VGG und Art. 48 Abs. 1, Art. 50 und 52 VwVG).</w:t>
      </w:r>
    </w:p>
    <w:p>
      <w:r>
        <w:rPr>
          <w:b/>
        </w:rPr>
        <w:t>E. 2.1</w:t>
      </w:r>
    </w:p>
    <w:p>
      <w:r>
        <w:t>In der Beschwerdeeingabe vom 4. Juni 2008 und nochmals in der Eingabe vom 3. Juli 2008 wurde das Bundesverwaltungsgericht von Seiten des Beschwerdeführers zur Vornahme von Abklärungen auf­ge­for­dert, namentlich zur Befragung von Zeugen zur Frage seiner fa­mi­liä­ren Verhältnisse sowie zur Veranlassung von Nachforschungen bei aus­ländischen Botschaften. Im Asylverfahren ist der Sachverhalt zwar grund­sätzlich von Amtes wegen festzustellen (Art. 12 VwVG i.V.m. Art. 6 AsylG). Die behördliche Untersuchungspflicht wird aber durch die den Asylsuchenden gemäss Art. 8 AsylG auferlegte Mit­wirkungs­pflicht eingeschränkt. So war für das Bundesverwaltungs­gericht - so­weit eine angebliche Unmöglichkeit des Wegweisungsvoll­zuges gel­tend gemacht wurde - aufgrund der Akten zu keinem Zeit­punkt ein Be­darf an Abklärungen im beantragten Sinne ersichtlich (vgl. dazu die Zwi­schenverfügungen vom 10. Juni 2008 [S. 6 f.] und vom 30. Juni 2008 [ab S. 3 Mitte]). Soweit in diesem Zusammenhang in der Folge ge­genüber dem Bundesverwaltungsgericht der Vorwurf erhoben wur­de, dem Beschwerdeführer sei durch eine nicht erfolgte Offen­legung der gesamten Vollzugsakten das rechtliche Gehör verletzt worden, bleibt der Ordnung halber festzuhalten, dass dieser Vorhalt als un­be­grün­det zu erkennen ist. Dem Beschwerdeführer wurden im Rahmen der Zwischenverfügung vom 10. Juni 2008 die wesentlichen Hinweise für sein bis dahin offenkundig ambivalentes Verhalten hin­sichtlich der Fra­ge seiner tatsächlichen Herkunft offengelegt (vgl. a.a.O., S. 2 unten bis S. 3 unten). Einer weiteren Offenlegung bedurfte es daher nicht, auch wenn ihm am 15. Juli 2008 vom BFM teilweise eine wei­ter­ge­hen­de Einsicht gewährt wurde. Nachdem im Rahmen der Eingabe vom 4. No­vember 2010 zum einen das Vorbringen betreffend das an­geb­li­che Bestehen einer gefestigten Familiengemeinschaft fallen gelassen und zum andern einlässliche Ausführungen zur Frage der Integration des Kindes B._______ gemacht wurden, bedarf es auch in dieser Hin­sicht keiner weiteren Abklärung respektive der beantragten Zeu­gen­be­fra­gung. Der entscheidrelevante Sachverhalt ist damit erstellt, weshalb auf eine Rückweisung der Sache ans BFM zwecks weiterer Sachver­halts­abklärungen ausser Betracht fällt.</w:t>
      </w:r>
    </w:p>
    <w:p>
      <w:r>
        <w:rPr>
          <w:b/>
        </w:rPr>
        <w:t>E. 2.2</w:t>
      </w:r>
    </w:p>
    <w:p>
      <w:r>
        <w:t>In der Beschwerdeeingabe vom 4. Juni 2008 wurde unter anderem gerügt, von Seiten des BFM habe keine Auseinandersetzung mit den Vorbringen betreffend die Integration des Kindes B._______ statt­ge­fun­den, was einer schweren Verletzung der Begründungspflicht gleich­kom­me. Tatsächlich hat sich das BFM zu den diesbezüglichen Vor­brin­gen - welche aufgrund der Akten als hinreichend klar erkenn­bar ge­macht zu bezeichnen sind - nicht nur in der angefochtenen Ver­fügung nicht geäussert, sondern auch nicht im Rahmen seiner Ver­nehm­las­sung vom 8. September 2008, was aufgrund der Akten als Verletzung der Begründungspflicht zu erkennen ist. Auf eine Rück­weisung der Sa­che ans BFM zwecks vollständiger Auseinander­setzungen mit den Ge­suchs­vorbringen ist indes vor dem Hintergrund der nachfolgenden Er­wä­gungen zu verzichten.</w:t>
      </w:r>
    </w:p>
    <w:p>
      <w:r>
        <w:rPr>
          <w:b/>
        </w:rPr>
        <w:t>E. 2.3</w:t>
      </w:r>
    </w:p>
    <w:p>
      <w:r>
        <w:t>Aufgrund der Akten ist festzustellen, dass A._______ vom BFM in der massgeblichen Datenbank - im Zentralen Migrations­informations­system (ZEMIS), die vom BFM geführte Ausländer-Daten­bank, umfas­send unter anderem Personen mit einem Bezug zu Asyl­verfahren (vgl. dazu die Verordnung über das Zentrale Migrations­informationssystem vom 12. April 2006 [ZEMIS-Verordnung; SR 142.513]) - als unbe­kann­ter Herkunft verzeichnet ist (sogenannte "Hauptidentität"), wobei er un­ter der Rubrik der sogenannten "Neben­identitäten" auch unter der ur­sprüng­lich geltend gemachten Staatsangehörigkeit von Angola und zu­dem auch unter der Staats­angehörigkeit von Kongo-Kinshasa geführt wird. Sein Sohn B._______ ist demgegenüber in der Zemis-Datenbank wei­terhin alleine als Staatsangehöriger von Angola ver­zeichnet. Vor dem Hintergrund der klaren Feststellungen in den akten­kundigen Her­kunfts­gutachten (act. B 22), welchen im Falle von A._______ mit Si­cher­heit auf eine Herkunft aus Kongo-Kinshasa schliessen, und der dies­bezüglich eindeutigen Ausführungen respekti­ve Zugeständnisse von A._______ im Rahmen des Beschwerdever­fahrens, ist jedoch im Fal­le der Beschwerdeführenden alleine von einer Herkunft und Staats­an­gehörigkeit von Kongo-Kinshasa auszugehen. In den nachfolgenden Er­wägungen wird demnach alleine darauf abge­stellt. Das BFM ist ein­zu­laden, nach Abschluss des Verfahrens die überholten Einträge in der Zemis-Datenbank zu korrigieren.</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Nachdem die Vorinstanz den Anspruch der Beschwerdeführenden auf Behandlung ihres Wiedererwägungsgesuches nicht in Abrede ge­stellt hat und darauf eingetreten ist, hat das Bundesverwaltungsgericht zu prüfen, ob das Gesuch zu Recht abgewiesen wurde.</w:t>
      </w:r>
    </w:p>
    <w:p>
      <w:r>
        <w:rPr>
          <w:b/>
        </w:rPr>
        <w:t>E. 4</w:t>
      </w:r>
    </w:p>
    <w:p>
      <w:r>
        <w:t>In der Beschwerdeeingabe vom 4. Juni 2008 wurde beantragt, es sei die Unzumutbarkeit und Unmöglichkeit des Wegweisungsvollzuges fest­zustellen. Es wird geltend gemacht und ist zu prüfen, ob eine seit Er­lass der Verfügung des BFF vom 29. August 2003 eingetretene, wesentlich veränderte Sachlage vorliegt. Nachdem das Vorbringen betreffend das Vorliegen einer in der Schweiz entstandenen Familien­ge­meinschaft mit einer Person, welche in der Schweiz vorläufig auf­ge­nom­men wurde, im Rahmen der Eingabe vom 4. November 2010 fal­len­gelassen wurde, erblickt A._______ eine solche Veränderung wei­ter­hin aufgrund einer mittlerweile sehr weit fortgeschrittenen Inte­gra­tion in der Schweiz seines Sohnes B._______. Vor dem Hin­ter­grund der in der Eingabe vom 3. Juli 2008 enthaltenen Aus­füh­rungen von A._______ zur Frage seiner tatsächlichen Herkunft und seiner familiä­ren Verhältnisse darf im Übrigen davon ausgegangen werden, dass auch das vormalige Vorbringen betreffend eine angeb­liche Unmög­lich­keit des Wegweisungsvollzuges fallengelassen wurde.</w:t>
      </w:r>
    </w:p>
    <w:p>
      <w:r>
        <w:rPr>
          <w:b/>
        </w:rPr>
        <w:t>E. 5.1</w:t>
      </w:r>
    </w:p>
    <w:p>
      <w:r>
        <w:t>Ist der Vollzug der Wegweisung nicht zulässig, nicht zumutbar oder nicht möglich, so regelt das BFM das Anwesen­heits­ver­hält­nis nach den gesetzlichen Bestimmungen über die vorläufige Auf­nah­me von Ausländern (Art. 44 Abs. 2 AsylG i.V.m. Art. 83 Abs. 1 AuG).</w:t>
      </w:r>
    </w:p>
    <w:p>
      <w:r>
        <w:rPr>
          <w:b/>
        </w:rPr>
        <w:t>E. 5.2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6.1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 EMARK 2003 Nr. 24 E. 5b S. 157, EMARK 2001 Nr. 16 E. 6b S. 123 und EMARK 1998 Nr. 25 E. 3d S. 223).</w:t>
      </w:r>
    </w:p>
    <w:p>
      <w:r>
        <w:rPr>
          <w:b/>
        </w:rPr>
        <w:t>E. 6.2</w:t>
      </w:r>
    </w:p>
    <w:p>
      <w:r>
        <w:t>Das BFM hat sich namentlich in seiner Vernehmlassung vom 5. September 2008 zur Frage der Zumutbarkeit des Wegweisungs­vollzuges nach Kongo-Kinshasa geäussert und diese im Falle der Be­schwerdeführenden ohne weiteres bejaht. Auf die in Kongo-Kinshasa herr­schenden Verhältnisse ist es dabei nicht näher eingegangen, son­dern es verwies im Wesentlichen auf die mutmasslichen Unter­stüt­zungs­möglichkeiten von Seiten der in Frankreich lebenden An­ge­höri­gen von A._______. Die Beschwerdeführenden wiederum haben sich zur Frage der Zu­mut­barkeit des Wegweisungsvollzuges vor dem Hintergrund der in ihrer Hei­mat herrschenden Verhältnisse nicht geäussert, obwohl über die Her­kunft der Mutter von B._______ aus Kinshasa berichtet wurde (vgl. Ein­gabe vom 25. Juni 2008) und sich der Beschwerdeführer schliess­lich zu einer Herkunft aus Kinshasa bekannt hat (vgl. Eingabe vom 3. Ju­li 2008). In diesem Zusammenhang wurde einzig angeführt, in Kin­shasa lebten keine Angehörigen mehr.</w:t>
      </w:r>
    </w:p>
    <w:p>
      <w:r>
        <w:rPr>
          <w:b/>
        </w:rPr>
        <w:t>E. 6.3</w:t>
      </w:r>
    </w:p>
    <w:p>
      <w:r>
        <w:t>Die ARK hat in einem Entscheid im Jahre 2004 eine umfassende La­ge­beurteilung in Bezug auf die Frage der Zumutbarkeit eines Weg­wei­sungsvollzugs nach Kongo-Kinshasa vorgenommen, die grund­sätz­lich nach wie vor ihre Gültigkeit hat. Dabei wurde in Bezug auf die La­ge vor Ausreise der Beschwerdeführenden ausgeführt, dass das Land in den 1990er-Jahren durch ethnische Spannungen und Konflikte mit den Nachbarstaaten, insbesondere Ruanda, geprägt war und sich schliess­lich ein Bürgerkrieg über das ganze Land ausbreitete. Die über Jah­re dauernden, vielmals wechselnden Konflikte führten zu einer fast voll­ständigen Zerrüttung des Landes. Erst nach dem Tod des vorma­li­gen Rebellenchefs und späteren Präsidenten Laurent-Désiré Kabila am 16. Januar 2001 beru­higte sich die Lage im Lande unter der Füh­rung von Joseph Kabila (dem Sohn des vormaligen Präsidenten) zu­neh­mend, zumal sich Letzterer bemüht zeigte, dem durch den langjäh­ri­gen Bürgerkrieg zerrütteten Land eine gewisse Stabilität zu verleihen und den Friedensprozess voranzu­treiben (vgl. zum Ganzen EMARK 2004 Nr. 33 E. 8.2. S. 233 ff.). In Würdigung der beschriebenen Um­stän­de erachtete die ARK den Wegweisungsvollzug nach Kongo-Kin­shasa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Die ARK hielt indes fest, dass - nach sorg­fältiger Prüfung und Abwägung der individuellen Um­stän­de - der Voll­zug der Wegweisung trotz Vor­liegen der vorstehend ge­nannten Kri­terien in aller Regel als nicht zu­mutbar erscheint, wenn die zurück­zuführende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dazu EMARK 2004 Nr. 33. E. 8.3 [erster Absatz] S. 237). Die Beschwerdeführenden weisen kein persönliches Profil auf, wel­ches im Sinne dieser Praxis klar gegen den Vollzug der Wegweisung spre­chen würde. Sie stammen aus der Hauptstadt Kinshasa und sie sind, soweit aufgrund der Akten ersichtlich, guter Gesundheit. Auch han­delt es sich beim minderjährigen B._______ nicht mehr um ein klei­nes Kind, sondern bereits um einen Jugendlichen. Diese per­sön­li­chen Voraussetzungen sprechen zumindest im Grundsatz für die Zu­mut­barkeit des Wegweisungsvollzuges. In diesem Zusammen­hang ist aber anzumerken, dass sich die Beschwerde­füh­renden seit dem 9. Januar 2001 und damit seit zehn Jahren in der Schweiz aufhalten. Nach einer so langen Landesabwesenheit dürfte eine Reintegration in Kon­go-Kinshasa zweifelsohne mit deutlich erhöhten Schwierigkeiten ver­bunden sein.</w:t>
      </w:r>
    </w:p>
    <w:p>
      <w:r>
        <w:rPr>
          <w:b/>
        </w:rPr>
        <w:t>E. 6.4</w:t>
      </w:r>
    </w:p>
    <w:p>
      <w:r>
        <w:t>Sind von einem allfälligen Wegweisungsvollzug Kinder betroffen, so bildet im Rahmen der Zumutbarkeitsprüfung auch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von Kindern in der Schweiz ist zwar bei der Beurteilung der Zumutbarkeit einer Rückkehr ins Heimat­land eher von untergeordneter Bedeutung, sie kann aber eine rezipro­ke Wirkung auf die Frage der Zumutbarkeit der Wegweisungs­vollzugs haben, in­dem eine starke Assimilierung in der Schweiz - und davon ist bei ei­nem längeren Aufenthalt von Kindern auszugehen - eine Entwur­ze­lung im Heimatstaat zur Folge haben kann, welche unter Umständen die Rückkehr dorthin als un­zumutbar erscheinen lässt (vgl. BVGE 2009/51 und 2009/28).</w:t>
      </w:r>
    </w:p>
    <w:p>
      <w:r>
        <w:rPr>
          <w:b/>
        </w:rPr>
        <w:t>E. 6.5</w:t>
      </w:r>
    </w:p>
    <w:p>
      <w:r>
        <w:t>Das BFM hat sich im angefochtenen Entscheid mit der Frage des Kin­deswohls nicht auseinandergesetzt und auf eine solche Aus­ein­an­der­setzung auch im Rahmen seiner Vernehmlassung verzichtet, was - wie erwähnt - aufgrund der Akten als Verletzung der Be­gründungs­pflicht zu erkennen ist. Die Beschwerdeführenden auf der anderen Seite haben bereits im Rah­men ihrer Beschwerde vom 4. Juni 2008 auf eine starke Ver­wurze­lung des Kindes B._______ in der Schweiz verwiesen. Dabei brachten sie vor, er sei ein guter Schüler, er spreche Schweizer­deutsch und er ha­be hier viele Freunde. So stark er sich hier eingelebt und integriert ha­be, so stark seien im Gegenzug seine Bindungen zu seiner Heimat ver­loren gegangen. Das Vorbringen der Verwurzelung des Kindes B._______ wurde schliesslich im Rahmen der Ein­gabe vom 4. Novem­ber 2010 massgeblich konkretisiert. Dort führ­ten die Beschwerdefüh­ren­den unter Vorlage einer Bestätigung des zu­ständigen Sozialamtes und von zwei Ver­haltens­berichten seiner Lehr­personen aus, B._______ sei im Jahre 2001 als sieben­jäh­riges Kind in die Schweiz ge­kommen und er sei zum heutigen Zeitpunkt ein in der Schweiz so­zia­lisierter Jugend­licher, womit eine Rückkehr in seine ihm mittler­weile frem­de Heimat eine völlige Entwurzelung nach sich ziehen würde. Un­ter Vorlage einer Urteilsliste der zuständigen Jugend­anwalt­schaft ei­ner­seits und eines Unterrichtsvertrages anderer­seits brachten sie vor, der bisherige Weg von B._______ sei zwar nicht ohne Irrungen ge­we­sen, nunmehr befinde er sich aber auf dem besten Weg, den Eintritt in ei­ne Berufs­ausbildung zu schaffen. So habe er sich in der Vergan­gen­heit einige kleinere Delikte zuschulden kommen lassen, bei welchen es sich aber nach Auskunft der Jugend­anwaltschaft um Baga­telldelikte ge­handelt habe. Heute sei nichts mehr gegen ihn anhängig und nach dem Schulaustritt habe er sich in einem kombinierten Brückenangebot mit Halbjahrespraktikum bewährt, was ihm jetzt die Türe zu einer Lehr­stel­le ab dem Sommer 2010 geöffnet habe.</w:t>
      </w:r>
    </w:p>
    <w:p>
      <w:r>
        <w:rPr>
          <w:b/>
        </w:rPr>
        <w:t>E. 6.6</w:t>
      </w:r>
    </w:p>
    <w:p>
      <w:r>
        <w:t>Gemäss den Akten ist B._______ bereits im Alter von sieben Jah­ren und einem Monat in die Schweiz eingereist und er hält sich mitt­ler­wei­le seit zehn Jahren ununterbrochen hier auf. Aufgrund des Alters des kürzlich 17-jährig gewordenen Jugendlichen im Zeit­punkt seiner Ein­reise in die Schweiz ergibt sich, dass er seine gesam­te schulische Aus­bildung hier durchlaufen hat. Mit der Ein­schulung in der Schweiz dürf­te er sich erfahrungsgemäss zusehends an die schwei­zerische Le­bens­weise assimiliert haben, ist doch gerade der aufein­anderfolgende Be­such erst der Primar- und dann der Sekundar­schulstufe in erhebli­chem Mass geeignet, Kinder durch das hiesige kulturelle und soziale Um­feld zu prägen. In diesem Sinne geht aus dem Bericht seines vor­ma­li­gen Lehrers hervor, dass B._______ ge­messen an seinem ge­spro­chenen Dialekt ein Schweizer sei. Seine Kenntnisse der (hoch-)deutschen Sprache habe dem C-Niveau ent­sprochen, seine Kennt­nisse in Französisch - seiner "Muttersprache" - hätten dem­ge­gen­über grosse Lücken aufgewiesen. Der vormalige Klassenlehrer at­tes­tierte B._______ im Weiteren ein normal gutes So­zialverhalten. Zwar hätten sich gegen Ende des Schuljahres seine Absenzen gehäuft und er sei bei der Berufswahlorientierung inaktiv geblieben, was aber nach Ansicht der Lehrperson insofern ver­ständ­lich gewesen sei, als B._______ erst wenige Wochen vor Ende der Schulzeit überhaupt die Be­willigung erhalten habe, sich um eine Schnupperlehre und eine Lehr­stellenbewerbung zu kümmern. Der vor­malige Lehrer wies schliess­lich in seinem Bericht darauf hin, dass die Integration von B._______ in unsere Gesellschaft schon sehr weit fortgeschritten sei. Nach dem Abschluss der obligatorischen Schulzeit ist B._______ in ein Brückenangebot mit praktischer Arbeit in einem normalen Betriebs- und Berufsumfeld (...) übergetreten, wobei der zuständige Prakti­kums­leh­rer in seinem Bericht durchwegs positiv über den Jugendlichen be­rich­tet (hinsicht­lich Sozialkompetenz sowie Serio­sität und Ernst­haftig­keit im Klassen­verband, wie auch hinsichtlich gu­tem Arbeitseinsatz an sei­ner Prakti­kumsstelle). Von Seiten des zustän­digen Sozialamtes wird schliess­lich berichtet, B._______ sei zuverläs­sig und kooperativ, er spre­che einwandfrei Mundart und sei nach Ein­schätzung des Sozial­am­tes gut integriert. Aus der vorgelegten Urteils­liste der zu­ständigen Ju­gend­an­waltschaft folgt andererseits, dass B._______ im Jahre 2007 ein­mal einen halben Tag Arbeit leisten musste, wegen einer Anzeige we­gen Sachbeschädigung, und dass er auch die Verkehrserziehung auf­suchen musste, wegen unberechtigten Verwendens eines Fahr­ra­des. Im Jahre 2009 und nochmals im Februar 2010 musste ihm zudem je wegen eines geringfügigen Diebstahls ein Verweis erteilt werden, wie ihm auch ein Verweis in Zusammenhang mit der Anzeige wegen ei­nes gefälschten Schülerausweises (vgl. dazu oben Bst. M) erteilt wur­de. Aus dem vorgelegten Praktikums- und Unterrichtsvertrag ergibt sich jedoch, dass B._______ zurzeit während vier Tagen in der Wo­che ... [in einem Berieb] arbeitet und am fünften Wochentag die Schule be­sucht. Bewährt er sich in diesem Praktikum, so steht ihm gemäss sei­nem Praktikumslehrer eine Option auf eine Lehrstelle offen. Die vorstehenden Umstände sprechen dafür, dass es sich bei B._______ um einen durchschnittlichen, in der Schweiz sozialisierten Ju­gendlichen handelt, welcher sich während seiner Schulzeit in der Schweiz integriert hat und welcher derzeit auf dem Weg eines Prakti­kums ... [in einem Betrieb] den Einstieg in den Berufsalltag zu fin­den sucht. Zwar ist er im Alter von 14 und 15 Jahren einige Male mit der herr­schenden Rechtsordnung in Konflikt geraten, alleine von daher ist an seiner Integration jedoch nicht zu zweifeln, deuten doch die dies­be­züg­lichen Verzeichnungen auf einige wenige und zudem bloss min­dere Vor­fälle. Aufgrund der zu seiner Person vorhandenen Angaben ist im Wei­teren davon auszugehen, dass Kongo-Kinshasa, welches er im Al­ter von gerade sieben Jahren verlassen hat, für ihn mittlerweile ein voll­ständig unbekanntes Land geworden ist. Unter diesen Umständen wür­de der Vollzug der Wegweisung für B._______ zweifellos eine Ent­wur­zelung mit sich bringen, zumal er gemäss Bericht seines vormali­gen Klassenlehrers nur über lückenhafte Kenntnisse des Französi­schen verfügt, sich in Kinshasa also nur mit Mühe selbständig bewe­gen könnte. Inwieweit allenfalls Kenntnisse von in Kinshasa gebräuch­li­chen Dialekten bestehen, ist aufgrund der Akten nicht konkret erstellt. In­des dürften diesbezügliche Kenntnisse zufolge des grossen Zeitab­laufs minimal sein. Sprachkenntnisse, welche für eine erfolgreiche Ein­glie­derung ins weitere Bildungssystem in der Heimat vorauszusetzen wä­ren, sind damit nicht vorhanden. Kontakte zu anderen gleichaltrigen Men­schen in seiner Heimat konnten sich aufgrund der langen Landes­ab­wesenheit nicht ergeben, und nachdem die Angehörigen seines Va­ters soweit ersichtlich alle in Frankreich ansässig sind, ist davon aus­zu­gehen, dass in Kinshasa der Vater der einzige persönliche An­knüp­fungs­punkt für den Jugendlichen wäre. Vor diesem Hintergrund - und an­ge­sichts der massgeblichen kulturellen Differenzen zwischen der Schweiz und seiner Heimat Kongo-Kinshasa - wäre die Reintegra­tion von B._______ in höchstem Masse in Frage gestellt. Bei dieser Sach­la­ge ist davon auszugehen, für ihn bestehe die konkrete Gefahr, dass die mit einem Vollzug der Wegweisung verbundene Entwurzelung aus dem bis dahin gewachsenen sozialen Umfeld in der Schweiz einer­seits, und die sich gleichzeitig abzeichnende Problematik einer Rein­te­gra­tion in eine ihm weitgehend fremde Kultur und Umgebung in seiner Hei­mat andererseits, zu einer massiven Belastung seiner wei­teren Ent­wicklung führen würde, welche in diesem Ausmass mit dem Schutz­anliegen des Kindeswohls nicht zu vereinbaren wäre.</w:t>
      </w:r>
    </w:p>
    <w:p>
      <w:r>
        <w:rPr>
          <w:b/>
        </w:rPr>
        <w:t>E. 6.7</w:t>
      </w:r>
    </w:p>
    <w:p>
      <w:r>
        <w:t>In Würdigung der gesamten Aktenlage und der vorstehenden Er­wä­gungen gelangt das Bundesverwaltungsgericht demnach zum Schluss, dass sich der Vollzug der Wegweisung des Kindes B._______ als nicht zumutbar im Sinne von Art. 83 Abs. 4 AuG erweist. Da die vorläufige Aufnahme eines Familienmitglieds zum Einbezug der üb­ri­gen Familienangehörigen führt (vgl. EMARK 1998 Nr. 31 E. 8 c ee S. 258; 1995 Nr. 24 E. 9 S. 229, die sich noch auf Art. 17 Abs. 1 AsylG in der Fassung gemäss Ziff. I des BB vom 22. Juni 1990 über das Asyl­ver­fahren [AS 1990 938] beziehen, welcher inhaltlich jedoch Art. 44 Abs. 1 AsylG entspricht) ist sein Vater grundsätzlich in die vor­läufige Auf­nahme des Kindes B._______ miteinzubeziehen, zumal gemäss den nachfolgenden Ausführungen die Voraussetzungen zum Aus­schluss von der vorläufigen Aufnahme im Sinne von Art. 83 Abs. 7 AuG offensichtlich nicht erfüllt sind.</w:t>
      </w:r>
    </w:p>
    <w:p>
      <w:r>
        <w:rPr>
          <w:b/>
        </w:rPr>
        <w:t>E. 7.1</w:t>
      </w:r>
    </w:p>
    <w:p>
      <w:r>
        <w:t>Gemäss Art. 83 Abs. 7 AuG wird die vorläufige Aufnahme nicht ver­fügt, wenn die betreffende Person zu einer längerfristigen Freiheits­stra­fe im In- oder Ausland verurteilt wurde oder wenn gegen sie eine straf­rechtliche Massnahme im Sinne von Art. 64 oder 61 des Schwei­ze­ri­schen Strafgesetzbuchs vom 21. Dezember 1937 (StGB, SR 311.0) an­geordnet wurde (Bst. a) oder wenn diese erheblich oder wiederholt ge­gen die öffentliche Sicherheit und Ordnung in der Schweiz oder im Aus­land verstossen hat oder diese gefährdet oder die innere oder die äus­sere Sicherheit gefährdet (Bst. b). Die Verurteilung zur länger­fris­ti­gen Freiheitsstrafe muss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2008, N. 6 zu Art. 62 AuG, sowie Peter Bolzli, a.a.O., N. 22 zu Art. 83 AuG und N. 5 zu Art. 84 AuG). Es ist darauf hinzuweisen, dass bei der An­wendung von Art. 83 Abs. 7 AuG - wie bereits früher unter Art. 14a Abs. 6 aANAG - generell Zurückhaltung geboten ist (vgl. BVGE 2007/32; EMARK 2006 Nr. 30, EMARK 2006 Nr. 23, EMARK 2004 Nr. 39).</w:t>
      </w:r>
    </w:p>
    <w:p>
      <w:r>
        <w:rPr>
          <w:b/>
        </w:rPr>
        <w:t>E. 7.2</w:t>
      </w:r>
    </w:p>
    <w:p>
      <w:r>
        <w:t>Aus den Akten folgt, dass A._______ während seines ersten Auf­ent­halts in der Schweiz und nochmals zu Beginn seines zweiten Auf­ent­halts mit der schweizerischen Rechtsordnung in Konflikt geraten ist. So wurde er während seines ersten Aufenthalts am 15. August 1996 we­gen eines geringfügigen Diebstahls angezeigt (Diebstahl von zwei Un­terhosen und einem Shirt) und er war gemäss aktenkundigem Be­richt in der Nacht vom 2. auf den 3. September 1997 an einer Rauferei in seiner damaligen Asylunterkunft beteiligt. Über diesbezüg­liche Ver­ur­teilungen lässt sich den Akten jedoch nichts entnehmen. Nach seiner er­neuten Einreise in die Schweiz wurde er von der Polizei zur Anzeige ge­bracht, da er am 9. Mai 2002 - zusammen mit einem anderen Mann dunk­ler Hautfarbe - einen Buschauffeur verbal bedroht hatte (act. B12). Über eine diesbezügliche Verurteilung lässt sich den Akten je­doch ebenfalls nichts entnehmen. Etwas später wurde er von der Po­li­zei verdächtigt, am 25. Juni 2002 als einer von drei möglichen Tätern an einer Körperverletzung beteiligt gewesen zu sein (vgl. act. B14 und B15). In diesem Zusammenhang wurde er von der Polizei zur Anzeige ge­bracht (vgl. act. B16) und in der Folge am 9. September 2002 im Straf­mandatsverfahren wegen der Beteiligung an einem Raufhandel zu sie­ben Tagen Gefängnis verurteilt, unter Gewährung des bedingen Voll­zuges, sowie zu einer Busse von Fr. 300.-, zuzüglich Gebühren und Auslagen (vgl. act. B18). Schliesslich wurde er Ende 2002 von der Po­lizei wegen des mehrfachen unberechtigten Verwen­dens eines Fahr­ra­des zur Anzeige gebracht (vgl. act. B19) und des­wegen am 10. März 2003 im Strafmandatsverfahren zu einer Busse von Fr. 120.- verurteilt, zu­züglich Gebühren und Auslagen (vgl. Ak­tenstück nach act. B26). Auf der anderen Seite ist festzuhalten, dass A._______ später nicht mehr ne­gativ in Erscheinung getreten ist. Im Bericht des zuständigen So­zial­am­tes vom 29. Oktober 2010 wird schliesslich ausgeführt, die Behörde ha­be A._______ in den letzten Jahren als zuverlässigen, angenehmen und kooperativen Men­schen erlebt.</w:t>
      </w:r>
    </w:p>
    <w:p>
      <w:r>
        <w:rPr>
          <w:b/>
        </w:rPr>
        <w:t>E. 7.3</w:t>
      </w:r>
    </w:p>
    <w:p>
      <w:r>
        <w:t>Zu den vorerwähnten Vorfällen und Delikten ist festzuhalten, dass die­se nunmehr Jahre zurück liegen und von daher - aber auch vom aus­gesprochenen Strafmass her, soweit es zu einer Verurteilung kam - auch nicht ansatzweise in den Bereich der Delikte fallen, welche ei­nen Ausschluss von der vorläufigen Aufnahme im Sinne von Art. 83 Abs. 7 AuG rechtfertigen würden. Das vormalige Verhalten von A._______ hat zwar damals zu Klagen Anlass gegeben, von einem er­heb­lichen oder wiederholten Verstoss gegen die öffentliche Sicher­heit und Ordnung oder von einer Gefährdung kann jedoch aufgrund der ge­sam­ten Aktenlage nicht ausgegangen werden. Anzufügen bleibt im­mer­hin, dass im Fall von erneutem deliktischem Verhalten vom BFM die Aufhebung der vorläufigen Aufnahme im Sinne von Art. 84 Abs. 3 AuG jederzeit geprüft werden kann.</w:t>
      </w:r>
    </w:p>
    <w:p>
      <w:r>
        <w:rPr>
          <w:b/>
        </w:rPr>
        <w:t>E. 8</w:t>
      </w:r>
    </w:p>
    <w:p>
      <w:r>
        <w:t>Aus vorstehenden Erwägungen ergibt sich, dass die Beschwerde­füh­ren­den zufolge Unzumutbarkeit des Wegweisungsvollzugs in der Schweiz vorläufig aufzunehmen sind. Nach dem Gesagten ist die Beschwerde gutzuheissen. Die an­ge­foch­te­ne Verfügung ist aufzuheben und das BFM anzuweisen, die Be­schwer­deführenden in der Schweiz vorläufig aufzunehmen.</w:t>
      </w:r>
    </w:p>
    <w:p>
      <w:r>
        <w:rPr>
          <w:b/>
        </w:rPr>
        <w:t>E. 9.1</w:t>
      </w:r>
    </w:p>
    <w:p>
      <w:r>
        <w:t>Mit Blick auf die Kostenverlegung ist nach den vorstehenden Er­wä­gungen von einem vollständigen Obsiegen der Beschwerde­füh­ren­den auszugehen. Den Beschwerdeführenden sind bei diesem Ver­fah­rens­ausgang keine Kosten aufzuerlegen (vgl. Art. 63 Abs. 1 VwVG), wo­mit sich das Gesuch um Erlass der Verfahrenskosten im Urteils­zeit­punkt als gegenstandslos erweist.</w:t>
      </w:r>
    </w:p>
    <w:p>
      <w:r>
        <w:rPr>
          <w:b/>
        </w:rPr>
        <w:t>E. 9.2</w:t>
      </w:r>
    </w:p>
    <w:p>
      <w:r>
        <w:t>Den Beschwerdeführenden ist - als vollständig obsiegender Par­tei - für die ihnen im Beschwerdeverfahren erwachsenen notwendigen Kos­ten eine Parteientschädigung zuzusprechen (Art. 64 Abs. 1 VwVG, Art. 16 Abs. 1 Bst. a VGG i.V.m. Art. 7 Abs. 1 des Reglements vom 21. Februar 2008 über die Kosten und Entschädigungen vor dem Bun­des­verwaltungsgericht [VGKE, SR 173.320.2]). Die Beschwerde­füh­ren­den haben ihre Rechtsbegehren unter Entschädigungsfolge ge­stellt, es jedoch im Verlauf des Verfahrens unterlassen, eine Kostenno­te ihrer Rechtsvertreterin vorzulegen. Nachdem kein Anspruch auf An­set­zung einer Frist zur Einreichung einer Kostennote besteht, son­dern die Rechtsvertretung im Gegenteil zur unaufgeforderten Einrei­chung ei­ner detaillierten Kostennote verpflichtet ist (Art. 14 Abs. 1 VGKE), ist die Entschädigung von Amtes wegen festzusetzen (Art. 14 Abs. 2 Satz 2 VGKE), zumal sich der im Verfahrenaufwand aufgrund der Ak­ten abschätzen lässt (Art. 9 Abs. 1 Bst. a und Art. 10 Abs. 1 - 2 VGKE). Die vom BFM zu entrichtende Parteientschädigung ist aufgrund der Ak­ten auf insgesamt Fr. 1'200.-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