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D-3652/2009 vom 16. Februar 2010</w:t>
      </w:r>
    </w:p>
    <w:p>
      <w:r>
        <w:t>Bundesverwaltungsgericht, 2010-02-16, DE</w:t>
      </w:r>
    </w:p>
    <w:p>
      <w:r>
        <w:rPr>
          <w:b/>
        </w:rPr>
        <w:t xml:space="preserve">Quelle: </w:t>
      </w:r>
      <w:r>
        <w:t>https://mcp.opencaselaw.ch/entscheid/bvger_D-3652_2009</w:t>
      </w:r>
    </w:p>
    <w:p>
      <w:r>
        <w:t>FR: TAF D-3652/2009 du 16 février 2010</w:t>
      </w:r>
    </w:p>
    <w:p>
      <w:r>
        <w:t>IT: TAF D-3652/2009 del 16 febbraio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Colombo am 21. Mai 2008 eine persönliche Befragung des Beschwerdeführers gemäss Art. 10 Abs. 1 AsylV 1 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Die Vorbringen in der Rechtsmitteleingabe vom 12. Mai 2009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substanziierten und nachvollziehbaren Erwägungen des BFM nicht umzustossen. So konnte der Beschwerdeführer weder die aufgezeigten Ungereimtheiten noch die falsche Schreibweise des Namens B._______ durch die Stempelung schlüssig erklären. Ebensowenig konnte er die Bedenken ausräumen, die die Vorinstanz im Zusammenhang mit der konstruiert anmutenden angeblichen Suche nach ihm vom 28. Mai 2008 aufgezeigt hat. Für das Bundesverwaltungsgericht besteht somit nach Überprüfung der Akten keine Veranlassung, die Erwägungen des Bundesamtes zu beanstanden. Um Wiederholungen zu vermeiden, kann daher auf die zutreffenden Ausführungen in der angefochtenen Verfügung verwiesen werden. Nach dem Gesagten erfüllt der Beschwerdeführer die Flüchtlingseigenschaft gemäss Art. 3 AsylG nicht.</w:t>
      </w:r>
    </w:p>
    <w:p>
      <w:r>
        <w:rPr>
          <w:b/>
        </w:rPr>
        <w:t>E. 6</w:t>
      </w:r>
    </w:p>
    <w:p>
      <w:r>
        <w:t>Insgesamt vermitteln die Vorbringen des Beschwerdeführers zu seinen Asylgründen kein in sich stimmiges Bild und vermögen den Anforderungen an die Glaubhaftigkeit gemäss Art. 7 AsylG nicht zu genügen. Es ist ihm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