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D-3634/2012 vom 24. August 2012</w:t>
      </w:r>
    </w:p>
    <w:p>
      <w:r>
        <w:t>Bundesverwaltungsgericht, 2012-08-24, DE</w:t>
      </w:r>
    </w:p>
    <w:p>
      <w:r>
        <w:rPr>
          <w:b/>
        </w:rPr>
        <w:t xml:space="preserve">Quelle: </w:t>
      </w:r>
      <w:r>
        <w:t>https://mcp.opencaselaw.ch/entscheid/bvger_D-3634_2012</w:t>
      </w:r>
    </w:p>
    <w:p>
      <w:r>
        <w:t>FR: TAF D-3634/2012 du 24 août 2012</w:t>
      </w:r>
    </w:p>
    <w:p>
      <w:r>
        <w:t>IT: TAF D-3634/2012 del 24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4.1</w:t>
      </w:r>
    </w:p>
    <w:p>
      <w:r>
        <w:t>Der Beschwerdeführer macht auf Beschwerdeebene zunächst neu geltend, er habe, als er in D._______ gelebt habe, als Fahrer für die LTTE gearbeitet und sei während des Waffenstillstandes auch für die LTTE nach Jaffna gefahren. Im Jahr 2006 sei er in sein Heimatdorf E._______ zurückgekehrt und habe als (...) gearbeitet. Sein Bruder F._______ sei im Jahr 2005 den LTTE beigetreten und habe bei einer Kampfeinheit gedient. Bei Kriegsende sei dieser in einem Camp festgehalten worden, aus welchem er aber habe fliehen können. Im Jahr 2010 sei ihm sodann die Flucht nach G._______ gelungen, wo er in einem pendenten Asylverfahren stehe. Auch der Vater des Beschwerdeführers habe sich als LTTE-Verantwortlicher für das Dorf D._______ im Vanni-Gebiet für die LTTE eingesetzt. Er sei zwischenzeitlich nach H._______ geflohen. Der zweite Bruder des Beschwerdeführers, I._______, sei sodann im Jahr 2010 von der sri-lankischen Armee für zwei Wochen festgenommen und äussert brutal zusammengeschlagen worden, so dass er eine dauerhafte Schädigung (Gehbehinderung) davongetragen habe. Schliesslich habe der Beschwerdeführer in der Schweiz seine regierungskritische Tätigkeit weitergeführt, indem er an verschiedenen Demonstrationen teilgenommen habe, so unter anderem an derjenigen im Jahr 2011 in Genf und am Heldentag im November 2011 in Fribourg. Er habe auch im März 2012 an einer Veranstaltung des Vereins "Exil Tamil Eelam" in Luzern teilgenommen. Der Beschwerdeführer wirft dem Bundesamt vor, es habe diese neuen Umstände und Veränderungen beim angefochtenen Entscheid zu Unrecht unberücksichtigt gelassen und damit den (abgemilderten) Untersuchungsgrundsatz verletzt sowie den Anspruch des Beschwerdeführers auf rechtliches Gehör missachtet. Das Bundesamt hätte dem Beschwerdeführer vor Fällung seines Entscheides Gelegenheit geben sollen, sich vernehmen zu lassen. Nach der letzten Befragung im Mai 2009 habe das BFM den Beschwerdeführer nicht mehr kontaktiert und er sei auch nicht angefragt worden, ob sich seitdem irgendwelche Veränderungen ergeben hätten. Die Sache sei deshalb an die Vorinstanz zurückzuweisen, damit diese den Beschwerdeführer ergänzend zu den Veränderungen in den letzten drei Jahren befrage und allenfalls dazu ergänzende Abklärungen vornehme.</w:t>
      </w:r>
    </w:p>
    <w:p>
      <w:r>
        <w:rPr>
          <w:b/>
        </w:rPr>
        <w:t>E. 4.2</w:t>
      </w:r>
    </w:p>
    <w:p>
      <w:r>
        <w:t>Zu den vorinstanzlichen Erwägungen lässt der Beschwerdeführer vorbringen, es sei zu bedenken, dass es sich zwar um kurzfristige Verhaftungen, jedoch nicht um Routinekontrollen gehandelt habe. Vielmehr sei er aus individuellen Gründen drei Mal für mehrere Tage in Haft genommen worden. Er sei dabei aufgrund seines längeren Aufenthaltes im Vanni-Gebiet im Verdacht gestanden, bei den LTTE gewesen zu sein. Weitere Verdachtsmomente hätten sich aus der Leitung des Lesevereins von E._______ ergeben. Es seien ihm bei den Befragungen auch Photos vorgehalten worden. Die Haft sei zwar nicht mit eigentlichen Folterungen, aber immerhin mit Misshandlungen verbunden gewesen. Bei gesamtheitlicher Betrachtung komme diesen Festnahmen sehr wohl asylrelevante Bedeutung zu. Entgegen der vorinstanzlichen Ansicht sei es nicht so, dass in Sri Lanka nur noch gegen hochrangige LTTE-Mitglieder ermittelt würde, sondern die Sicherheitskräfte untersuchten nach wie vor jedwelche Kontakte zu den LTTE und würden Leute, die den LTTE zugehörten oder diese Organisation unterstützten, nach wie vor zur Rechenschaft ziehen. Bezüglich des Beschwerdeführers habe ein Verdacht bestanden und bestehe immer noch. Die vom Beschwerdeführer neu geschilderten Umstände könnten nur bedeuten, dass sich auch die Verdachtsmomente gegen den Beschwerdeführer verdichtet beziehungsweise neue Verdächtigungen dazu gekommen seien. Der Beschwerdeführer hätte deshalb mit seiner sofortigen Verhaftung, mit Untersuchungshaft und einer Verurteilung zu rechnen, die von Misshandlungen und Folterungen begleitet wären. Entgegen der Ansicht des Bundesamtes seien die Festnahmen im Kontext sehr wohl als asylrelevant einzuschätzen und dem Beschwerdeführer sei deshalb die Flüchtlingseigenschaft zuzubilligen. Weiter wird auf Beschwerdeebene ausgeführt, die vorinstanzliche Betrachtungsweise, wonach er mit seiner Identitätskarte von B._______ nach Colombo habe reisen können, lege den Schluss nahe, dass er nicht ernsthaft in Verdacht stehe, eine Gefahr für die Sicherheit des sri-lankischen Staates darzustellen, sei unzutreffend. Aufgrund seiner Vorgeschichte (längerer Aufenthalt im Vanni-Gebiet, Tätigkeit im Lesesaalverein) sowie aufgrund seiner familiären Verstrickungen (Bruder LTTE-Kämpfer, Vater LTTE-Dorfverantwortlicher) zähle der Beschwerdeführer zur Risikogruppe von Personen, die Verbindungen zu den LTTE aufwiesen. Dass der Beschwerdeführer im Jahr 2009 gleichwohl unter Vorweisung der Identitätskarte von B._______ nach Colombo habe reisen können, schliesse die Zugehörigkeit zur Risikogruppe keinesfalls aus. Zum einen sei der Erkenntnisstand der sri-lankischen Sicherheitskräfte damals noch nicht so umfassend, zum anderen sei die Daten-Infrastruktur (Vernetzung der Datenanlagen, Telekommunikation) mangelhaft gewesen.</w:t>
      </w:r>
    </w:p>
    <w:p>
      <w:r>
        <w:rPr>
          <w:b/>
        </w:rPr>
        <w:t>E. 4.3</w:t>
      </w:r>
    </w:p>
    <w:p>
      <w:r>
        <w:t>Zusammenfassend wird ausgeführt, beim Beschwerdeführer seien mehrere konkrete Hinweise auszumachen, dass er von den heimatlichen Behörden mit Verfolgungsmassnahmen im Sinne von Art. 3 AsylG zu rechnen hätte. Die verschiedenen Verdachtsmomente reichten auch heute noch aus, dass der Beschwerdeführer in Sri Lanka mit erheblicher Wahrscheinlichkeit in asylrelevantem Ausmass verfolgt würde. Er erfülle deshalb die Flüchtlingseigenschaft nach Art. 3 AsylG, weshalb ihm in Anwendung von Art. 2 AsylG in der Schweiz Asyl zu gewähren sei. Die angefochtene Verfügung sei deshalb aufzuheben und die Sache zur Vervollständigung des Sachverhaltes und zum neuen Entscheid an die Vorinstanz zurückzuweisen.</w:t>
      </w:r>
    </w:p>
    <w:p>
      <w:r>
        <w:rPr>
          <w:b/>
        </w:rPr>
        <w:t>E. 4.4</w:t>
      </w:r>
    </w:p>
    <w:p>
      <w:r>
        <w:t>Seinen Eventualantrag begründet der Beschwerdeführer damit, dass er ein Profil aufweise, welches eine staatliche Verfolgung im asylrelevanten Ausmass als wahrscheinlich und naheliegend erscheinen lasse. Bei einer zwangsweisen Rückschaffung in sein Heimatland würde er unter dem Verdacht der LTTE-Zugehörigkeit oder -Unterstützung umgehend festgenommen und von den Sicherheitskräften in Haft gesteckt. Diese Verfolgung würde in einem langen Freiheitsentzug (verbunden mit Folter), in einem unfairen Verfahren und eventuell sogar in Schlimmerem (Verschwindenlassen o.ä.) enden. Der Beschwerdeführer erfülle deshalb aufgrund der drohenden Verfolgung die Flüchtlingseigenschaft, weshalb er als Flüchtling anzuerkennen und ihm Asyl in der Schweiz zu gewähren sei. Zu berücksichtigen sei sodann, dass der Beschwerdeführer seine regierungskritische Einstellung in der Schweiz ebenfalls manifestiert habe. Mit seinen Teilnahmen an der Demonstration in Genf, am Heldentag in Fribourg sowie an der Veranstaltung des "Exil Tamil Eelam" habe er deutlich seine Abneigung gegenüber der singhalesischen Regierung zum Ausdruck gebracht. Da die sri-lankische Auslandvertretung die Aktivitäten der Tamilen in der Schweiz genau beobachte, sei davon auszugehen, dass die heimatlichen Behörden von diesen exilpolitischen Tätigkeiten Kenntnis habe. Dem Beschwerdeführer sei deshalb direkt Asyl zu gewähren.</w:t>
      </w:r>
    </w:p>
    <w:p>
      <w:r>
        <w:rPr>
          <w:b/>
        </w:rPr>
        <w:t>E. 5</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beschlagen und die der Gesuchsteller besser kennt als die Behörden oder die von diesen ohne seine Mitwirkung gar nicht oder nicht mit vernünftigem Aufwand erhoben werden können (vgl. BVGE 2008/24 E. 7.2, mit weiteren Hinweisen). Art. 8 AsylG konkretisiert diese Mitwirkungspflicht für das Asylverfahren.</w:t>
      </w:r>
    </w:p>
    <w:p>
      <w:r>
        <w:rPr>
          <w:b/>
        </w:rPr>
        <w:t>E. 5.1</w:t>
      </w:r>
    </w:p>
    <w:p>
      <w:r>
        <w:t>Im vorliegenden Fall kann der Vorinstanz nicht vorgeworfen werden, sie habe den rechtserheblichen Sachverhalt nicht genügend abgeklärt. Zwar trifft zu, dass sie den Beschwerdeführer seit seiner Anhörung im Mai 2009 bis zum Erlass der angefochtenen Verfügung im Juni 2012 nicht kontaktiert hat. Es wäre jedoch am Beschwerdeführer gewesen, die Vorinstanz im Rahmen seiner Mitwirkungspflicht von sich aus auf die neuen, ihn konkret betreffenden Geschehnisse in seinem Heimatland und seine angebliche exilpolitische Tätigkeit aufmerksam zu machen und diese soweit möglich zu belegen. Dies konnte ohne Weiteres von ihm erwartet werden, da es sich bei seinen Vorbringen um Tatsachen bezüglich seiner persönlichen Situation handelt und er sich der Relevanz dieser Vorbringen für das Verfahren bewusst sein musste. Damit kann der Vorinstanz keine Verletzung des Untersuchungsgrundsatzes vorgeworfen werden.</w:t>
      </w:r>
    </w:p>
    <w:p>
      <w:r>
        <w:rPr>
          <w:b/>
        </w:rPr>
        <w:t>E. 5.2</w:t>
      </w:r>
    </w:p>
    <w:p>
      <w:r>
        <w:t>Der in Art. 29 Abs. 2 der Bundesverfassung der Schweizerischen Eidgenossenschaft vom 18. April 1999 (BV, SR 101)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zugleich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mit weiteren Hinweisen). Im vorliegenden Fall kann davon ausgegangen werden, dass dem Beschwerdeführer die veränderte Situation in seinem Heimatland bekannt war. Es wäre ihm jederzeit möglich gewesen, sich dazu zu äussern. Die Vorinstanz war entsprechend nicht verpflichtet, den Beschwerdeführer darauf aufmerksam zu machen und zur Stellungnahme aufzufordern. Eine Verletzung des Anspruches auf rechtliches Gehör liegt nicht vor. Der Rückweisungsantrag ist demzufolge abzuweisen.</w:t>
      </w:r>
    </w:p>
    <w:p>
      <w:r>
        <w:rPr>
          <w:b/>
        </w:rPr>
        <w:t>E. 6</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ein Gesuchsteller persönlich glaubwürdig erscheinen, was insbesondere dann nicht der Fall ist, wenn er wichtige Tatsachen unterdrückt oder bewusst falsch darstellt, im Laufe des Verfahren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eines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Entscheidungen und Mitteilungen der [vormaligen] Schweizerischen Asylrekurskommission [EMARK] 2005 Nr. 21 E. 6.1 S. 190 f.).</w:t>
      </w:r>
    </w:p>
    <w:p>
      <w:r>
        <w:rPr>
          <w:b/>
        </w:rPr>
        <w:t>E. 6.2</w:t>
      </w:r>
    </w:p>
    <w:p>
      <w:r>
        <w:t>Die Vorinstanz hat darauf verzichtet, die Vorbringen des Beschwerdeführers auf ihre Glaubhaftigkeit zu prüfen, da diese nicht asylrelevant seien. Wie zu zeigen sein wird, hat die Vorinstanz die Asylrelevanz der erstinstanzlich gelten gemachten Vorbringen zu Recht verneint (nachstehend E. 6.4). Zu prüfen ist aber die Glaubhaftigkeit der auf Beschwerdeebene neu gelten gemachten Vorbringen, wonach sowohl der Vater als auch einer der Brüder des Beschwerdeführers enge Verbindungen zu den LTTE gehabt hätten und der zweite Bruder im Jahr 2010 von der sri-lankischen Armee verhaftet und zum Krüppel geschlagen worden sei. Diese Vorbringen sind indessen als nachgeschoben zu betrachten. Es ist nicht ersichtlich - und wird insbesondere auf Beschwerdeebene auch nicht ausgeführt -, weshalb es dem Beschwerdeführer nicht möglich gewesen sein sollte, die eigene angebliche LTTE-Vergangenheit sowie diejenige seiner Familienangehörigen bereits im vorinstanzlichen Verfahren geltend zu machen. Gegenteils hat er anlässlich der Anhörung vom 12. Mai 2009 ausdrücklich erklärt, er habe alles sagen können, was für das Asylgesuch wichtig erscheine und es gebe ausser den geschilderten Gründen nichts, was gegen seine Rückkehr oder Rückführung in den Heimatstaat sprechen würde (vgl. Akten BFM A 7/18 S. 16). Die diesbezüglich eingereichten Bestätigungsschreiben vermögen das späte Vorbringen nicht zu erklären und sind angesichts des verwandtschaftlichen Verhältnisses (Vater und Bruder des Beschwerdeführers) und der damit verbundenen fehlenden Unabhängigkeit der Verfasser auch nicht zur Glaubhaftmachung des Sachverhaltes geeignet. Auch die weitere Bestätigung von J._______ muss - insbesondere aufgrund seiner späten Ausfertigung - als Gefälligkeitsschreiben gewertet werden. Was sodann den Übergriff auf den jüngeren Bruder des Beschwerdeführers anbelangt, vermag die eingereichte ärztliche Bestätigung weder eine Verbindung zu den LTTE noch eine solche zum Beschwerdeführer zu belegen. Der Grund für den (behaupteten) Übergriff ist völlig offen. Der Beschwerdeführer vermag damit die erst auf Beschwerdeebene geltend gemachten Umstände nicht glaubhaft zu machen. Damit ist auch der Furcht vor künftiger Verfolgung wegen früherer LTTE-Verbindungen die Grundlage entzogen. Schliesslich verweist der Beschwerdeführer auf seine exilpolitische Tätigkeit in der Schweiz. Zwar unterlässt er es, seine behaupteten Teilnahmen an einer Demonstration und weiteren Treffen zu belegen, doch kann die Glaubhaftigkeit dieser Angaben angesichts der nachfolgenden Erwägung offen bleiben, da sie sich für den Ausgang des Verfahrens als irrelevant erweisen (vgl. E. 6.4).</w:t>
      </w:r>
    </w:p>
    <w:p>
      <w:r>
        <w:rPr>
          <w:b/>
        </w:rPr>
        <w:t>E. 6.3</w:t>
      </w:r>
    </w:p>
    <w:p>
      <w:r>
        <w:t>Für die Beurteilung der Flüchtlingseigenschaft ist die Situation im Zeitpunkt des Asylentscheids massgeblich. Ausgangspunkt der Prüfung ist die Frage nach der im Zeitpunkt der Ausreise vorhandenen Furcht vor einer bereits erfolgten oder absehbaren Verfolgung im Heimatstaat. Veränderungen der objektiven Situation im Heimatstaat zwischen Ausreise und Asylentscheid sind zugunsten und zulasten der ein Asylbesuch stellenden Person zu berücksichtigen (vgl. BVGE 2008/4 E. 5.4 und BVGE 2007/31 E. 5.3, mit weiteren Hinweisen). Die erlittene Verfolgung oder die begründete Furcht vor zukünftiger Verfolgung muss zudem sachlich und zeitlich kausal für die Ausreise aus dem Heimat- oder Herkunftsstaat und grundsätzlich auch im Zeitpunkt des Asylentscheides noch aktuell sein (vgl. EMARK 2005 Nr. 21 E. 7.2. und dort zitierte Urteile).</w:t>
      </w:r>
    </w:p>
    <w:p>
      <w:r>
        <w:rPr>
          <w:b/>
        </w:rPr>
        <w:t>E. 6.4</w:t>
      </w:r>
    </w:p>
    <w:p>
      <w:r>
        <w:t>Die auf Beschwerdeebene erhobenen Einwände des Beschwerdeführers sind nicht geeignet, seine Flüchtlingseigenschaft glaubhaft zu machen. Das Bundesverwaltungsgericht nahm in seinem Grundsatzurteil BVGE 2011/24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 Trotzdem können Personen, die auch nach Beendigung des Bürgerkriegs verdächtigt werden, mit den LTTE in Verbindung zu stehen, immer noch einer Verfolgungsgefahr unterliegen (BVGE a.a.O. E. 7.6 und E. 8.1). Entgegen der Auffassung des Beschwerdeführers kam die Vorinstanz zutreffend zum Schluss, die von ihm im erstinstanzlichen Verfahren geschilderten Umstände vermöchten den Anforderungen an die Flüchtlingseigenschaft im Sinne von Art. 3 AsylG nicht zu genügen. Es kann vorab auf die zutreffenden Erwägungen in der angefochtenen Verfügung verwiesen werden. Insbesondere ist die Annahme des Beschwerdeführers, er habe im März 2009 und damit in der Schlussphase des Bürgerkrieges aufgrund einer mangelhaften Daten-Infrastruktur der sri-lankischen Sicherheitskräfte mit der eigenen Identitätskarte unbehelligt nach Colombo reisen können, als wirklichkeitsfremd zu bezeichnen. Zwar sind die vom Beschwerdeführer geschilderten Erlebnisse nicht zu bagatellisieren, dennoch hat ihnen die Vorinstanz zu Recht die notwendige Intensität (vgl. dazu Walter Stöckli, Asyl, in: Uebersax/Rudin/Hugi Yar/Geiser [Hrsg.], Ausländerrecht, 2. Aufl., Basel 2009, Rz. 11.14) und die Wiederholungsgefahr respektive Gezieltheit abgesprochen. Aus der blossen Teilnahme an einer Demonstration sowie zweier Treffen in der Schweiz kann schliesslich nicht ohne Weiteres geschlossen werden, die sri-lankischen Behörden seien auf den Beschwerdeführer aufmerksam geworden.</w:t>
      </w:r>
    </w:p>
    <w:p>
      <w:r>
        <w:rPr>
          <w:b/>
        </w:rPr>
        <w:t>E. 6.5</w:t>
      </w:r>
    </w:p>
    <w:p>
      <w:r>
        <w:t>Nach dem Gesagten ist festzustellen, dass der Beschwerdeführer bei einer Rückkehr nach Sri Lanka keiner flüchtlingsrechtlich relevanten Verfolgungsgefahr ausgesetzt ist. Die Vorinstanz hat demnach seine Flüchtlingseigenschaft zu Recht verneint und das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mit Hinweis auf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Stöckli, a.a.O.,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hat in seinem bereits erwähnten Grundsatzurteil BVGE 2011/24 festgestellt, dass sich die Menschenrechts- und Sicherheitslage in Sri Lanka wesentlich verbessert hat. Allerdings präsentiert sich die Situation nicht in allen Landesteilen gleich. Es muss unterschieden werden zwischen der Ostprovinz, in die der Wegweisungsvollzug grundsätzlich zumutbar ist, und zwei verschiedenen Gebieten innerhalb der Nordprovinz, in die der Wegweisungsvollzug nicht (Vanni-Gebiet) oder nur unter bestimmten Voraussetzungen (übrige Nordprovinz) zumutbar ist. Die Rückkehr in alle anderen Landesteile, insbesondere in den Grossraum Colombo, ist grundsätzlich zumutbar.</w:t>
      </w:r>
    </w:p>
    <w:p>
      <w:r>
        <w:rPr>
          <w:b/>
        </w:rPr>
        <w:t>E. 8.4.2</w:t>
      </w:r>
    </w:p>
    <w:p>
      <w:r>
        <w:t>Die Vorinstanz geht zutreffend davon aus, dass dem aus B._______ stammenden Beschwerdeführer die Rückkehr dorthin zumutbar ist. B._______ liegt in der Nordprovinz, ausserhalb des Vanni-Gebiets. Nach eigenen Angaben lebte der Beschwerdeführer dort von 1981 bis 1995 sowie von 2002 bis zur Ausreise (vgl. A 7/18 S. 3). Er hat eine gute Schulbildung bis und mit A-Level (Advanced-Level) durchlaufen (vgl. A 1/11 S. 3) und war hernach als (...) tätig (vgl. A 1/11 S. 2 und A 7/18 S. 4). Angesichts seines langjährigen Aufenthalts im Norden Sri Lankas kann davon ausgegangen werden, dass er über ein intaktes soziales Beziehungsnetz verfügt. Zwar macht der Beschwerdeführer geltend, sein Vater und einer seiner Brüder seien zwischenzeitlich nach H._______ beziehungsweise G._______ geflüchtet, doch ist festzustellen, dass seine Mutter sowie sein zweiter Bruder - auch wenn allenfalls gesundheitlich beeinträchtigt - immer noch im Heimatland leben. Es sollte dem Beschwerdeführer deshalb möglich sein, sich nach seiner Rückkehr nach Sri Lanka eine wirtschaftliche Existenz zu schaffen und (wieder) ein soziales Umfeld zu gestalten.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26. Juli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